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3D87" w14:textId="77777777" w:rsidR="00754CD3" w:rsidRDefault="00754CD3" w:rsidP="00742F0C">
      <w:pPr>
        <w:jc w:val="center"/>
        <w:rPr>
          <w:noProof/>
        </w:rPr>
      </w:pPr>
    </w:p>
    <w:p w14:paraId="6C57D35C" w14:textId="50571446" w:rsidR="00742F0C" w:rsidRPr="00A96E1B" w:rsidRDefault="00742F0C" w:rsidP="00742F0C">
      <w:pPr>
        <w:jc w:val="center"/>
        <w:rPr>
          <w:color w:val="CB5039"/>
        </w:rPr>
      </w:pPr>
      <w:r>
        <w:rPr>
          <w:noProof/>
        </w:rPr>
        <w:drawing>
          <wp:inline distT="0" distB="0" distL="0" distR="0" wp14:anchorId="37B19A25" wp14:editId="461B7ABA">
            <wp:extent cx="6022081" cy="988541"/>
            <wp:effectExtent l="0" t="0" r="0" b="2540"/>
            <wp:docPr id="481036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36802" name="Image 4810368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2791" cy="991941"/>
                    </a:xfrm>
                    <a:prstGeom prst="rect">
                      <a:avLst/>
                    </a:prstGeom>
                  </pic:spPr>
                </pic:pic>
              </a:graphicData>
            </a:graphic>
          </wp:inline>
        </w:drawing>
      </w:r>
    </w:p>
    <w:p w14:paraId="3FBF4C37" w14:textId="3827BE90" w:rsidR="00FF3345" w:rsidRDefault="00FF3345"/>
    <w:p w14:paraId="1608C80E" w14:textId="636E6F00" w:rsidR="00FF3345" w:rsidRDefault="00601161" w:rsidP="00742F0C">
      <w:pPr>
        <w:pStyle w:val="Titre1"/>
      </w:pPr>
      <w:r>
        <w:t>Actual’ISST</w:t>
      </w:r>
    </w:p>
    <w:p w14:paraId="1C3386A2" w14:textId="0F3F8799" w:rsidR="00FF3345" w:rsidRDefault="00601161" w:rsidP="00742F0C">
      <w:pPr>
        <w:pStyle w:val="Sous-titre"/>
      </w:pPr>
      <w:r>
        <w:t>N°</w:t>
      </w:r>
      <w:r w:rsidR="000D557B">
        <w:t>3</w:t>
      </w:r>
      <w:r>
        <w:t xml:space="preserve">, </w:t>
      </w:r>
      <w:r w:rsidR="000D557B">
        <w:t>Janvier-mars</w:t>
      </w:r>
      <w:r>
        <w:t xml:space="preserve"> 202</w:t>
      </w:r>
      <w:r w:rsidR="000D557B">
        <w:t>6</w:t>
      </w:r>
    </w:p>
    <w:p w14:paraId="04E1EFAF" w14:textId="77777777" w:rsidR="00FF3345" w:rsidRDefault="00FF3345"/>
    <w:p w14:paraId="6CACC633" w14:textId="4E4FD3DC" w:rsidR="00FF3345" w:rsidRDefault="00A96E1B" w:rsidP="001F24E3">
      <w:pPr>
        <w:pStyle w:val="Chap"/>
        <w:rPr>
          <w:b/>
          <w:bCs/>
          <w:color w:val="000000" w:themeColor="text1"/>
        </w:rPr>
      </w:pPr>
      <w:r w:rsidRPr="00810876">
        <w:rPr>
          <w:b/>
          <w:bCs/>
          <w:color w:val="000000" w:themeColor="text1"/>
        </w:rPr>
        <w:t>Le bulletin de veille de l’INTEFP sur la p</w:t>
      </w:r>
      <w:r w:rsidR="00601161" w:rsidRPr="00810876">
        <w:rPr>
          <w:b/>
          <w:bCs/>
          <w:color w:val="000000" w:themeColor="text1"/>
        </w:rPr>
        <w:t>révention, santé et sécurité au travail dans la Fonction Publique d’Etat</w:t>
      </w:r>
    </w:p>
    <w:p w14:paraId="62BCADFC" w14:textId="77777777" w:rsidR="00810876" w:rsidRPr="00810876" w:rsidRDefault="00810876" w:rsidP="001F24E3">
      <w:pPr>
        <w:pStyle w:val="Chap"/>
        <w:rPr>
          <w:b/>
          <w:bCs/>
          <w:color w:val="000000" w:themeColor="text1"/>
        </w:rPr>
      </w:pPr>
    </w:p>
    <w:p w14:paraId="5F6D1FCF" w14:textId="075C10EF" w:rsidR="00810876" w:rsidRDefault="00810876" w:rsidP="001F24E3">
      <w:pPr>
        <w:rPr>
          <w:b/>
          <w:bCs/>
          <w:color w:val="CB5039"/>
        </w:rPr>
      </w:pPr>
      <w:r w:rsidRPr="00810876">
        <w:rPr>
          <w:b/>
          <w:bCs/>
          <w:color w:val="CB5039"/>
        </w:rPr>
        <w:t xml:space="preserve">SANTE </w:t>
      </w:r>
      <w:r w:rsidR="00E03118">
        <w:rPr>
          <w:b/>
          <w:bCs/>
          <w:color w:val="CB5039"/>
        </w:rPr>
        <w:t>SECURITE AU TRAVAIL</w:t>
      </w:r>
    </w:p>
    <w:p w14:paraId="060FE29B" w14:textId="77777777" w:rsidR="00BD52A4" w:rsidRDefault="00BD52A4" w:rsidP="001F24E3">
      <w:pPr>
        <w:rPr>
          <w:b/>
          <w:bCs/>
          <w:color w:val="CB5039"/>
        </w:rPr>
      </w:pPr>
    </w:p>
    <w:p w14:paraId="08D75C7C" w14:textId="77777777" w:rsidR="00747997" w:rsidRDefault="00747997" w:rsidP="001F24E3">
      <w:pPr>
        <w:rPr>
          <w:b/>
          <w:bCs/>
          <w:color w:val="CB5039"/>
        </w:rPr>
      </w:pPr>
    </w:p>
    <w:p w14:paraId="60E0E605" w14:textId="77777777" w:rsidR="00747997" w:rsidRPr="00747997" w:rsidRDefault="00747997" w:rsidP="00747997">
      <w:pPr>
        <w:numPr>
          <w:ilvl w:val="0"/>
          <w:numId w:val="14"/>
        </w:numPr>
        <w:rPr>
          <w:rFonts w:ascii="Marianne" w:eastAsia="Times New Roman" w:hAnsi="Marianne" w:cs="Calibri"/>
          <w:kern w:val="0"/>
          <w:sz w:val="24"/>
          <w14:ligatures w14:val="none"/>
        </w:rPr>
      </w:pPr>
      <w:r w:rsidRPr="00747997">
        <w:rPr>
          <w:rFonts w:ascii="Marianne" w:eastAsia="Times New Roman" w:hAnsi="Marianne" w:cs="Calibri"/>
          <w:b/>
          <w:bCs/>
          <w:color w:val="000000"/>
          <w:kern w:val="0"/>
          <w:sz w:val="24"/>
          <w14:ligatures w14:val="none"/>
        </w:rPr>
        <w:t xml:space="preserve">Nouvelle étude : EUROGIP dresse un état des lieux de la prévention des RPS en Europe et à l’international </w:t>
      </w:r>
    </w:p>
    <w:p w14:paraId="2EE527A8"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b/>
          <w:bCs/>
          <w:kern w:val="0"/>
          <w:sz w:val="24"/>
          <w14:ligatures w14:val="none"/>
        </w:rPr>
        <w:t>Eurogip, 24/03/2026 :</w:t>
      </w:r>
      <w:r w:rsidRPr="00747997">
        <w:rPr>
          <w:rFonts w:ascii="Marianne" w:eastAsia="Times New Roman" w:hAnsi="Marianne" w:cs="Calibri"/>
          <w:kern w:val="0"/>
          <w:sz w:val="24"/>
          <w14:ligatures w14:val="none"/>
        </w:rPr>
        <w:t xml:space="preserve"> </w:t>
      </w:r>
      <w:hyperlink r:id="rId9" w:history="1">
        <w:r w:rsidRPr="00747997">
          <w:rPr>
            <w:rFonts w:ascii="Marianne" w:eastAsia="Times New Roman" w:hAnsi="Marianne" w:cs="Calibri"/>
            <w:color w:val="0000FF"/>
            <w:kern w:val="0"/>
            <w:sz w:val="24"/>
            <w:u w:val="single"/>
            <w14:ligatures w14:val="none"/>
          </w:rPr>
          <w:t>https://eurogip.fr/nouvelle-etude-eurogip-dresse-un-etat-des-lieux-de-la-prevention-des-rps-en-europe-et-a-linternational/</w:t>
        </w:r>
      </w:hyperlink>
    </w:p>
    <w:p w14:paraId="282F29B4"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Depuis la pandémie de 2020, la santé mentale s’impose comme un enjeu mondial, y compris dans le milieu professionnel. De nombreux pays multiplient les règlementations et initiatives afin de mieux gérer les risques psychosociaux au travail (RPS) qui impactent la vie des travailleurs, l’organisation des entreprises et la société au sens large. Stress, burnout, violence, harcèlement, isolement, conflits au travail… Comment les prévenir ?</w:t>
      </w:r>
    </w:p>
    <w:p w14:paraId="345FB7C8"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De la « personne de confiance en entreprise » en Belgique aux « centres de traumatismes psychologiques d’origine professionnelle » en Corée du Sud, cette étude présente les initiatives de prévention et gestion des RPS dans :</w:t>
      </w:r>
    </w:p>
    <w:p w14:paraId="571A41E1" w14:textId="77777777" w:rsidR="00747997" w:rsidRPr="00747997" w:rsidRDefault="00747997" w:rsidP="00747997">
      <w:pPr>
        <w:numPr>
          <w:ilvl w:val="0"/>
          <w:numId w:val="15"/>
        </w:num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7 pays européens : Allemagne, Belgique, Danemark, Espagne, France, Italie et Suède ;</w:t>
      </w:r>
    </w:p>
    <w:p w14:paraId="255E46DB" w14:textId="77777777" w:rsidR="00747997" w:rsidRPr="00747997" w:rsidRDefault="00747997" w:rsidP="00747997">
      <w:pPr>
        <w:numPr>
          <w:ilvl w:val="0"/>
          <w:numId w:val="15"/>
        </w:num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5 pays extra-européens : Australie, Canada, Corée du Sud, États-Unis et Japon.</w:t>
      </w:r>
    </w:p>
    <w:p w14:paraId="2CD10B8A" w14:textId="77777777" w:rsidR="00747997" w:rsidRPr="00747997" w:rsidRDefault="00747997" w:rsidP="00747997">
      <w:pPr>
        <w:rPr>
          <w:rFonts w:ascii="Marianne" w:eastAsia="Times New Roman" w:hAnsi="Marianne" w:cs="Calibri"/>
          <w:kern w:val="0"/>
          <w:sz w:val="24"/>
          <w14:ligatures w14:val="none"/>
        </w:rPr>
      </w:pPr>
    </w:p>
    <w:p w14:paraId="6AB467A6" w14:textId="77777777" w:rsidR="00747997" w:rsidRPr="00747997" w:rsidRDefault="00747997" w:rsidP="00747997">
      <w:pPr>
        <w:numPr>
          <w:ilvl w:val="0"/>
          <w:numId w:val="14"/>
        </w:numPr>
        <w:rPr>
          <w:rFonts w:ascii="Marianne" w:eastAsia="Times New Roman" w:hAnsi="Marianne" w:cs="Calibri"/>
          <w:b/>
          <w:bCs/>
          <w:kern w:val="0"/>
          <w:sz w:val="24"/>
          <w14:ligatures w14:val="none"/>
        </w:rPr>
      </w:pPr>
      <w:r w:rsidRPr="00747997">
        <w:rPr>
          <w:rFonts w:ascii="Marianne" w:eastAsia="Times New Roman" w:hAnsi="Marianne" w:cs="Calibri"/>
          <w:b/>
          <w:bCs/>
          <w:kern w:val="0"/>
          <w:sz w:val="24"/>
          <w14:ligatures w14:val="none"/>
        </w:rPr>
        <w:t>France : point sur la sinistralité en 2024</w:t>
      </w:r>
    </w:p>
    <w:p w14:paraId="25F94630"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b/>
          <w:bCs/>
          <w:kern w:val="0"/>
          <w:sz w:val="24"/>
          <w14:ligatures w14:val="none"/>
        </w:rPr>
        <w:t>Eurogip, 18/03/2026</w:t>
      </w:r>
      <w:r w:rsidRPr="00747997">
        <w:rPr>
          <w:rFonts w:ascii="Marianne" w:eastAsia="Times New Roman" w:hAnsi="Marianne" w:cs="Calibri"/>
          <w:kern w:val="0"/>
          <w:sz w:val="24"/>
          <w14:ligatures w14:val="none"/>
        </w:rPr>
        <w:t xml:space="preserve"> : </w:t>
      </w:r>
      <w:hyperlink r:id="rId10" w:history="1">
        <w:r w:rsidRPr="00747997">
          <w:rPr>
            <w:rFonts w:ascii="Marianne" w:eastAsia="Times New Roman" w:hAnsi="Marianne" w:cs="Calibri"/>
            <w:color w:val="0000FF"/>
            <w:kern w:val="0"/>
            <w:sz w:val="24"/>
            <w:u w:val="single"/>
            <w14:ligatures w14:val="none"/>
          </w:rPr>
          <w:t>https://eurogip.fr/france-point-sur-la-sinistralite-en-2024/</w:t>
        </w:r>
      </w:hyperlink>
    </w:p>
    <w:p w14:paraId="67067514"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lastRenderedPageBreak/>
        <w:t>L’Assurance Maladie – Risques professionnels a publié « L’Essentiel 2024 – Santé et sécurité au travail », un document qui présente les chiffres relatifs aux accidents du travail, maladies professionnelles et indemnités journalières, ainsi que les faits marquants de l’année en matière de prévention et d’accompagnement des assurés.</w:t>
      </w:r>
    </w:p>
    <w:p w14:paraId="0C9426DE" w14:textId="77777777" w:rsidR="00747997" w:rsidRPr="00747997" w:rsidRDefault="00747997" w:rsidP="00747997">
      <w:pPr>
        <w:rPr>
          <w:rFonts w:ascii="Marianne" w:eastAsia="Times New Roman" w:hAnsi="Marianne" w:cs="Calibri"/>
          <w:kern w:val="0"/>
          <w:sz w:val="24"/>
          <w14:ligatures w14:val="none"/>
        </w:rPr>
      </w:pPr>
    </w:p>
    <w:p w14:paraId="2AA3D7BC" w14:textId="77777777" w:rsidR="00747997" w:rsidRPr="00747997" w:rsidRDefault="00747997" w:rsidP="00747997">
      <w:pPr>
        <w:numPr>
          <w:ilvl w:val="0"/>
          <w:numId w:val="14"/>
        </w:numPr>
        <w:rPr>
          <w:rFonts w:ascii="Marianne" w:eastAsia="Times New Roman" w:hAnsi="Marianne" w:cs="Calibri"/>
          <w:b/>
          <w:bCs/>
          <w:kern w:val="0"/>
          <w:sz w:val="24"/>
          <w14:ligatures w14:val="none"/>
        </w:rPr>
      </w:pPr>
      <w:r w:rsidRPr="00747997">
        <w:rPr>
          <w:rFonts w:ascii="Marianne" w:eastAsia="Times New Roman" w:hAnsi="Marianne" w:cs="Calibri"/>
          <w:b/>
          <w:bCs/>
          <w:kern w:val="0"/>
          <w:sz w:val="24"/>
          <w14:ligatures w14:val="none"/>
        </w:rPr>
        <w:t>Ecouter le Psy du Travail</w:t>
      </w:r>
    </w:p>
    <w:p w14:paraId="6A980CE7"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b/>
          <w:bCs/>
          <w:kern w:val="0"/>
          <w:sz w:val="24"/>
          <w14:ligatures w14:val="none"/>
        </w:rPr>
        <w:t>Réseau Européen des consultations souffrance et travail, 03/2026 :</w:t>
      </w:r>
      <w:r w:rsidRPr="00747997">
        <w:rPr>
          <w:rFonts w:ascii="Marianne" w:eastAsia="Times New Roman" w:hAnsi="Marianne" w:cs="Calibri"/>
          <w:kern w:val="0"/>
          <w:sz w:val="24"/>
          <w14:ligatures w14:val="none"/>
        </w:rPr>
        <w:t xml:space="preserve"> </w:t>
      </w:r>
      <w:hyperlink r:id="rId11" w:history="1">
        <w:r w:rsidRPr="00747997">
          <w:rPr>
            <w:rFonts w:ascii="Marianne" w:eastAsia="Times New Roman" w:hAnsi="Marianne" w:cs="Calibri"/>
            <w:color w:val="0000FF"/>
            <w:kern w:val="0"/>
            <w:sz w:val="24"/>
            <w:u w:val="single"/>
            <w14:ligatures w14:val="none"/>
          </w:rPr>
          <w:t>https://lepsydutravail.fr/ecouter-ici/</w:t>
        </w:r>
      </w:hyperlink>
    </w:p>
    <w:p w14:paraId="6633F04D"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 xml:space="preserve">Des podcasts pour se parler du travail et de comment le soigner. </w:t>
      </w:r>
    </w:p>
    <w:p w14:paraId="7196B9DF" w14:textId="77777777" w:rsidR="00747997" w:rsidRPr="00747997" w:rsidRDefault="00747997" w:rsidP="00747997">
      <w:pPr>
        <w:rPr>
          <w:rFonts w:ascii="Marianne" w:eastAsia="Times New Roman" w:hAnsi="Marianne" w:cs="Calibri"/>
          <w:kern w:val="0"/>
          <w:sz w:val="24"/>
          <w14:ligatures w14:val="none"/>
        </w:rPr>
      </w:pPr>
    </w:p>
    <w:p w14:paraId="3E65A28A" w14:textId="77777777" w:rsidR="00747997" w:rsidRPr="00747997" w:rsidRDefault="00747997" w:rsidP="00747997">
      <w:pPr>
        <w:numPr>
          <w:ilvl w:val="0"/>
          <w:numId w:val="14"/>
        </w:numPr>
        <w:rPr>
          <w:rFonts w:ascii="Marianne" w:eastAsia="Times New Roman" w:hAnsi="Marianne" w:cs="Calibri"/>
          <w:b/>
          <w:bCs/>
          <w:kern w:val="0"/>
          <w:sz w:val="24"/>
          <w14:ligatures w14:val="none"/>
        </w:rPr>
      </w:pPr>
      <w:r w:rsidRPr="00747997">
        <w:rPr>
          <w:rFonts w:ascii="Marianne" w:eastAsia="Times New Roman" w:hAnsi="Marianne" w:cs="Calibri"/>
          <w:b/>
          <w:bCs/>
          <w:kern w:val="0"/>
          <w:sz w:val="24"/>
          <w14:ligatures w14:val="none"/>
        </w:rPr>
        <w:t>Statistiques des accidents du travail : une nouvelle étude d’EUROGIP fait le point sur la comparabilité entre les pays</w:t>
      </w:r>
    </w:p>
    <w:p w14:paraId="5C194BCB" w14:textId="77777777" w:rsidR="00747997" w:rsidRPr="00747997" w:rsidRDefault="00747997" w:rsidP="00747997">
      <w:pPr>
        <w:rPr>
          <w:rFonts w:ascii="Marianne" w:eastAsia="Times New Roman" w:hAnsi="Marianne" w:cs="Calibri"/>
          <w:kern w:val="0"/>
          <w:sz w:val="24"/>
          <w14:ligatures w14:val="none"/>
        </w:rPr>
      </w:pPr>
      <w:proofErr w:type="spellStart"/>
      <w:r w:rsidRPr="00747997">
        <w:rPr>
          <w:rFonts w:ascii="Marianne" w:eastAsia="Times New Roman" w:hAnsi="Marianne" w:cs="Calibri"/>
          <w:b/>
          <w:bCs/>
          <w:kern w:val="0"/>
          <w:sz w:val="24"/>
          <w14:ligatures w14:val="none"/>
        </w:rPr>
        <w:t>Europgip</w:t>
      </w:r>
      <w:proofErr w:type="spellEnd"/>
      <w:r w:rsidRPr="00747997">
        <w:rPr>
          <w:rFonts w:ascii="Marianne" w:eastAsia="Times New Roman" w:hAnsi="Marianne" w:cs="Calibri"/>
          <w:b/>
          <w:bCs/>
          <w:kern w:val="0"/>
          <w:sz w:val="24"/>
          <w14:ligatures w14:val="none"/>
        </w:rPr>
        <w:t>, 10/03/2026</w:t>
      </w:r>
      <w:r w:rsidRPr="00747997">
        <w:rPr>
          <w:rFonts w:ascii="Marianne" w:eastAsia="Times New Roman" w:hAnsi="Marianne" w:cs="Calibri"/>
          <w:kern w:val="0"/>
          <w:sz w:val="24"/>
          <w14:ligatures w14:val="none"/>
        </w:rPr>
        <w:t xml:space="preserve"> : </w:t>
      </w:r>
      <w:hyperlink r:id="rId12" w:history="1">
        <w:r w:rsidRPr="00747997">
          <w:rPr>
            <w:rFonts w:ascii="Marianne" w:eastAsia="Times New Roman" w:hAnsi="Marianne" w:cs="Calibri"/>
            <w:color w:val="0000FF"/>
            <w:kern w:val="0"/>
            <w:sz w:val="24"/>
            <w:u w:val="single"/>
            <w14:ligatures w14:val="none"/>
          </w:rPr>
          <w:t>https://eurogip.fr/statistiques-des-accidents-du-travail-une-etude-nouvelle-deurogip-fait-le-point-sur-la-comparabilite-entre-les-pays/</w:t>
        </w:r>
      </w:hyperlink>
    </w:p>
    <w:p w14:paraId="517D8569" w14:textId="77777777" w:rsidR="00747997" w:rsidRPr="00747997" w:rsidRDefault="00747997" w:rsidP="00747997">
      <w:pPr>
        <w:rPr>
          <w:rFonts w:ascii="Marianne" w:eastAsia="Times New Roman" w:hAnsi="Marianne" w:cs="Calibri"/>
          <w:kern w:val="0"/>
          <w:sz w:val="24"/>
          <w14:ligatures w14:val="none"/>
        </w:rPr>
      </w:pPr>
      <w:r w:rsidRPr="00747997">
        <w:rPr>
          <w:rFonts w:ascii="Marianne" w:eastAsia="Times New Roman" w:hAnsi="Marianne" w:cs="Calibri"/>
          <w:kern w:val="0"/>
          <w:sz w:val="24"/>
          <w14:ligatures w14:val="none"/>
        </w:rPr>
        <w:t>Pour se situer en termes de sinistralité, il est devenu courant de comparer les statistiques entre pays européens. Toutefois, une lecture éclairée suppose de connaître ce que chaque pays inclut dans celles-ci : quelles populations de travailleurs sont couvertes ? Quels évènements sont comptabilisés ? Selon quelles règles sont-ils déclarés ou reconnus ? Quelles données sont publiées ?… Dans cette nouvelle étude, EUROGIP explore les statistiques d’accidents du travail de six pays (Allemagne, Danemark, Espagne, France, Italie et Luxembourg) identifiés comme relativement comparables au sein de l’Union européenne. La qualité des données et la disponibilité d’éléments méthodologiques permettent une analyse approfondie de ces statistiques.</w:t>
      </w:r>
    </w:p>
    <w:p w14:paraId="1532902D" w14:textId="77777777" w:rsidR="00747997" w:rsidRDefault="00747997" w:rsidP="001F24E3">
      <w:pPr>
        <w:rPr>
          <w:b/>
          <w:bCs/>
          <w:color w:val="CB5039"/>
        </w:rPr>
      </w:pPr>
    </w:p>
    <w:p w14:paraId="461ADD38" w14:textId="77777777" w:rsidR="00BD52A4" w:rsidRDefault="00BD52A4" w:rsidP="00BD52A4">
      <w:pPr>
        <w:pStyle w:val="Paragraphedeliste"/>
        <w:numPr>
          <w:ilvl w:val="0"/>
          <w:numId w:val="12"/>
        </w:numPr>
        <w:contextualSpacing w:val="0"/>
        <w:rPr>
          <w:rFonts w:ascii="Marianne" w:hAnsi="Marianne"/>
          <w:color w:val="000000"/>
          <w:sz w:val="24"/>
        </w:rPr>
      </w:pPr>
      <w:r>
        <w:rPr>
          <w:rFonts w:ascii="Marianne" w:hAnsi="Marianne"/>
          <w:b/>
          <w:bCs/>
          <w:color w:val="000000"/>
          <w:sz w:val="24"/>
        </w:rPr>
        <w:t xml:space="preserve">L’innovation en santé au travail. Rapport </w:t>
      </w:r>
    </w:p>
    <w:p w14:paraId="0FA59593" w14:textId="77777777" w:rsidR="00BD52A4" w:rsidRDefault="00BD52A4" w:rsidP="00BD52A4">
      <w:pPr>
        <w:rPr>
          <w:rFonts w:ascii="Marianne" w:hAnsi="Marianne"/>
          <w:color w:val="000000"/>
          <w:sz w:val="24"/>
        </w:rPr>
      </w:pPr>
      <w:r>
        <w:rPr>
          <w:rFonts w:ascii="Marianne" w:hAnsi="Marianne"/>
          <w:b/>
          <w:bCs/>
          <w:color w:val="000000"/>
          <w:sz w:val="24"/>
        </w:rPr>
        <w:t>Rapport IGAS, Corinne Cherubini, Frédéric Laloue, Dr Philippe Magne , 16/03/2026 </w:t>
      </w:r>
      <w:r>
        <w:rPr>
          <w:rFonts w:ascii="Marianne" w:hAnsi="Marianne"/>
          <w:color w:val="000000"/>
          <w:sz w:val="24"/>
        </w:rPr>
        <w:t xml:space="preserve">: </w:t>
      </w:r>
      <w:hyperlink r:id="rId13" w:history="1">
        <w:r>
          <w:rPr>
            <w:rStyle w:val="Lienhypertexte"/>
            <w:rFonts w:ascii="Marianne" w:hAnsi="Marianne"/>
            <w:sz w:val="24"/>
          </w:rPr>
          <w:t>https://igas.gouv.fr/linnovation-en-sante-au-travail</w:t>
        </w:r>
      </w:hyperlink>
    </w:p>
    <w:p w14:paraId="5E67CEEA" w14:textId="77777777" w:rsidR="00BD52A4" w:rsidRDefault="00BD52A4" w:rsidP="00BD52A4">
      <w:pPr>
        <w:rPr>
          <w:rFonts w:ascii="Marianne" w:hAnsi="Marianne"/>
          <w:color w:val="000000"/>
          <w:sz w:val="24"/>
        </w:rPr>
      </w:pPr>
      <w:r>
        <w:rPr>
          <w:rFonts w:ascii="Marianne" w:hAnsi="Marianne"/>
          <w:color w:val="000000"/>
          <w:sz w:val="24"/>
        </w:rPr>
        <w:t xml:space="preserve">L’innovation est un déterminant essentiel de la qualité de tout système de santé. L’IGAS s’est attachée à étudier particulièrement la situation des services de prévention et de santé au travail (SPST) au regard de l’objectif d’innovation. Si ces services se modernisent rapidement sous l’effet de la réforme de 2021, des freins institutionnels et pratiques demeurent. La mission préconise d’apporter certaines modifications aux conditions de régulation du secteur, et de dynamiser l’innovation en s’appuyant sur l’expérience du monde de la santé publique. </w:t>
      </w:r>
    </w:p>
    <w:p w14:paraId="4F79CEC8" w14:textId="77777777" w:rsidR="00BD52A4" w:rsidRDefault="00BD52A4" w:rsidP="00BD52A4">
      <w:pPr>
        <w:rPr>
          <w:rFonts w:ascii="Marianne" w:hAnsi="Marianne"/>
          <w:sz w:val="24"/>
        </w:rPr>
      </w:pPr>
    </w:p>
    <w:p w14:paraId="0EFEBE74" w14:textId="77777777" w:rsidR="00BD52A4" w:rsidRDefault="00BD52A4" w:rsidP="00BD52A4">
      <w:pPr>
        <w:pStyle w:val="Paragraphedeliste"/>
        <w:numPr>
          <w:ilvl w:val="0"/>
          <w:numId w:val="12"/>
        </w:numPr>
        <w:contextualSpacing w:val="0"/>
        <w:rPr>
          <w:rFonts w:ascii="Marianne" w:hAnsi="Marianne"/>
          <w:b/>
          <w:bCs/>
          <w:sz w:val="24"/>
        </w:rPr>
      </w:pPr>
      <w:r>
        <w:rPr>
          <w:rFonts w:ascii="Marianne" w:hAnsi="Marianne"/>
          <w:b/>
          <w:bCs/>
          <w:sz w:val="24"/>
        </w:rPr>
        <w:lastRenderedPageBreak/>
        <w:t>Attractivité des métiers de l’autonomie : pour une nouvelle stratégie de réduction des risques professionnels</w:t>
      </w:r>
    </w:p>
    <w:p w14:paraId="5DDD1BEA" w14:textId="77777777" w:rsidR="00BD52A4" w:rsidRDefault="00BD52A4" w:rsidP="00BD52A4">
      <w:pPr>
        <w:rPr>
          <w:rFonts w:ascii="Marianne" w:hAnsi="Marianne"/>
          <w:sz w:val="24"/>
        </w:rPr>
      </w:pPr>
      <w:r>
        <w:rPr>
          <w:rFonts w:ascii="Marianne" w:hAnsi="Marianne"/>
          <w:b/>
          <w:bCs/>
          <w:sz w:val="24"/>
        </w:rPr>
        <w:t>Rapport IGAS, 06/02/2026</w:t>
      </w:r>
      <w:r>
        <w:rPr>
          <w:rFonts w:ascii="Marianne" w:hAnsi="Marianne"/>
          <w:sz w:val="24"/>
        </w:rPr>
        <w:t xml:space="preserve"> : </w:t>
      </w:r>
      <w:hyperlink r:id="rId14" w:history="1">
        <w:r>
          <w:rPr>
            <w:rStyle w:val="Lienhypertexte"/>
            <w:rFonts w:ascii="Marianne" w:hAnsi="Marianne"/>
            <w:sz w:val="24"/>
          </w:rPr>
          <w:t>https://igas.gouv.fr/attractivite-des-metiers-de-lautonomie-pour-une-nouvelle-strategie-de-reduction-des-risques-professionnels</w:t>
        </w:r>
      </w:hyperlink>
    </w:p>
    <w:p w14:paraId="0684CD8F" w14:textId="77777777" w:rsidR="00BD52A4" w:rsidRDefault="00BD52A4" w:rsidP="00BD52A4">
      <w:pPr>
        <w:rPr>
          <w:rFonts w:ascii="Marianne" w:hAnsi="Marianne"/>
          <w:sz w:val="24"/>
        </w:rPr>
      </w:pPr>
      <w:r>
        <w:rPr>
          <w:rFonts w:ascii="Marianne" w:hAnsi="Marianne"/>
          <w:sz w:val="24"/>
        </w:rPr>
        <w:t>Dernier volet des trois missions sur l’attractivité des métiers du médico-social, le rapport de l’</w:t>
      </w:r>
      <w:proofErr w:type="spellStart"/>
      <w:r>
        <w:rPr>
          <w:rFonts w:ascii="Marianne" w:hAnsi="Marianne"/>
          <w:sz w:val="24"/>
        </w:rPr>
        <w:t>Igas</w:t>
      </w:r>
      <w:proofErr w:type="spellEnd"/>
      <w:r>
        <w:rPr>
          <w:rFonts w:ascii="Marianne" w:hAnsi="Marianne"/>
          <w:sz w:val="24"/>
        </w:rPr>
        <w:t xml:space="preserve"> examine la qualité de vie et les conditions de travail (QVTC) dans le champ de l’autonomie, qui regroupe le grand âge et le </w:t>
      </w:r>
      <w:proofErr w:type="gramStart"/>
      <w:r>
        <w:rPr>
          <w:rFonts w:ascii="Marianne" w:hAnsi="Marianne"/>
          <w:sz w:val="24"/>
        </w:rPr>
        <w:t>handicap</w:t>
      </w:r>
      <w:proofErr w:type="gramEnd"/>
      <w:r>
        <w:rPr>
          <w:rFonts w:ascii="Marianne" w:hAnsi="Marianne"/>
          <w:sz w:val="24"/>
        </w:rPr>
        <w:t>. Il s’agit de l’un des secteurs les plus exposés aux accidents du travail en France.</w:t>
      </w:r>
    </w:p>
    <w:p w14:paraId="2A441B4B" w14:textId="77777777" w:rsidR="00BD52A4" w:rsidRDefault="00BD52A4" w:rsidP="00BD52A4">
      <w:pPr>
        <w:rPr>
          <w:rFonts w:ascii="Marianne" w:hAnsi="Marianne"/>
          <w:sz w:val="24"/>
        </w:rPr>
      </w:pPr>
    </w:p>
    <w:p w14:paraId="11D7E710" w14:textId="77777777" w:rsidR="00BD52A4" w:rsidRDefault="00BD52A4" w:rsidP="00BD52A4">
      <w:pPr>
        <w:pStyle w:val="Paragraphedeliste"/>
        <w:numPr>
          <w:ilvl w:val="0"/>
          <w:numId w:val="12"/>
        </w:numPr>
        <w:contextualSpacing w:val="0"/>
        <w:rPr>
          <w:rFonts w:ascii="Marianne" w:hAnsi="Marianne"/>
          <w:b/>
          <w:bCs/>
          <w:sz w:val="24"/>
        </w:rPr>
      </w:pPr>
      <w:r>
        <w:rPr>
          <w:rFonts w:ascii="Marianne" w:hAnsi="Marianne"/>
          <w:b/>
          <w:bCs/>
          <w:sz w:val="24"/>
        </w:rPr>
        <w:t>PFAS au travail. Mieux comprendre les expositions professionnelles pour protéger les travailleurs</w:t>
      </w:r>
    </w:p>
    <w:p w14:paraId="22C809FC" w14:textId="77777777" w:rsidR="00BD52A4" w:rsidRDefault="00BD52A4" w:rsidP="00BD52A4">
      <w:pPr>
        <w:rPr>
          <w:rFonts w:ascii="Marianne" w:hAnsi="Marianne"/>
          <w:sz w:val="24"/>
        </w:rPr>
      </w:pPr>
      <w:r>
        <w:rPr>
          <w:rFonts w:ascii="Marianne" w:hAnsi="Marianne"/>
          <w:b/>
          <w:bCs/>
          <w:sz w:val="24"/>
        </w:rPr>
        <w:t>INRS, 29/01/2026 :</w:t>
      </w:r>
      <w:r>
        <w:rPr>
          <w:rFonts w:ascii="Marianne" w:hAnsi="Marianne"/>
          <w:sz w:val="24"/>
        </w:rPr>
        <w:t xml:space="preserve"> </w:t>
      </w:r>
      <w:hyperlink r:id="rId15" w:history="1">
        <w:r>
          <w:rPr>
            <w:rStyle w:val="Lienhypertexte"/>
            <w:rFonts w:ascii="Marianne" w:hAnsi="Marianne"/>
            <w:sz w:val="24"/>
          </w:rPr>
          <w:t>https://www.inrs.fr/header/presse/cp-PFAS-au-travail.html</w:t>
        </w:r>
      </w:hyperlink>
    </w:p>
    <w:p w14:paraId="6F33D2B9" w14:textId="77777777" w:rsidR="00BD52A4" w:rsidRDefault="00BD52A4" w:rsidP="00BD52A4">
      <w:pPr>
        <w:rPr>
          <w:rFonts w:ascii="Marianne" w:hAnsi="Marianne"/>
          <w:sz w:val="24"/>
        </w:rPr>
      </w:pPr>
      <w:r>
        <w:rPr>
          <w:rFonts w:ascii="Marianne" w:hAnsi="Marianne"/>
          <w:sz w:val="24"/>
        </w:rPr>
        <w:t xml:space="preserve">Découvertes à la fin des années 1940 et plus connues sous le nom de PFAS, parfois qualifiées de « polluants éternels », les substances per- et </w:t>
      </w:r>
      <w:proofErr w:type="spellStart"/>
      <w:r>
        <w:rPr>
          <w:rFonts w:ascii="Marianne" w:hAnsi="Marianne"/>
          <w:sz w:val="24"/>
        </w:rPr>
        <w:t>polyfluoroalkylées</w:t>
      </w:r>
      <w:proofErr w:type="spellEnd"/>
      <w:r>
        <w:rPr>
          <w:rFonts w:ascii="Marianne" w:hAnsi="Marianne"/>
          <w:sz w:val="24"/>
        </w:rPr>
        <w:t xml:space="preserve"> regroupent plusieurs milliers de composés chimiques utilisés pour leurs propriétés antiadhésives, imperméabilisantes ou résistantes à la chaleur. De nombreux salariés sont ainsi exposés à ces composés, tout au long de leur cycle de vie, de leur production à leur élimination. Même si les PFAS sont très médiatisés sur les volets environnemental et sanitaire, l’exposition professionnelle à ces substances est encore méconnue. C’est pourquoi l’Institut national de recherche et sécurité pour la prévention des accidents du travail et des maladies professionnelles (INRS) vient de publier plusieurs articles présentant les résultats d’une enquête menée auprès d’établissements sur les PFAS, un état des connaissances sur leurs effets sur la santé et les perspectives de recherche en santé au travail.</w:t>
      </w:r>
    </w:p>
    <w:p w14:paraId="3227FCAB" w14:textId="77777777" w:rsidR="00BD52A4" w:rsidRDefault="00BD52A4" w:rsidP="00BD52A4">
      <w:pPr>
        <w:rPr>
          <w:rFonts w:ascii="Marianne" w:hAnsi="Marianne"/>
          <w:sz w:val="24"/>
        </w:rPr>
      </w:pPr>
    </w:p>
    <w:p w14:paraId="4314F088" w14:textId="77777777" w:rsidR="00BD52A4" w:rsidRDefault="00BD52A4" w:rsidP="00BD52A4">
      <w:pPr>
        <w:pStyle w:val="Paragraphedeliste"/>
        <w:numPr>
          <w:ilvl w:val="0"/>
          <w:numId w:val="12"/>
        </w:numPr>
        <w:contextualSpacing w:val="0"/>
        <w:rPr>
          <w:rFonts w:ascii="Marianne" w:hAnsi="Marianne"/>
          <w:b/>
          <w:bCs/>
          <w:sz w:val="24"/>
        </w:rPr>
      </w:pPr>
      <w:r>
        <w:rPr>
          <w:rFonts w:ascii="Marianne" w:hAnsi="Marianne"/>
          <w:b/>
          <w:bCs/>
          <w:sz w:val="24"/>
        </w:rPr>
        <w:t>Evaluer les risques d’exposition professionnelle au radon</w:t>
      </w:r>
    </w:p>
    <w:p w14:paraId="155C6507" w14:textId="77777777" w:rsidR="00BD52A4" w:rsidRDefault="00BD52A4" w:rsidP="00BD52A4">
      <w:pPr>
        <w:rPr>
          <w:rFonts w:ascii="Marianne" w:hAnsi="Marianne"/>
          <w:sz w:val="24"/>
        </w:rPr>
      </w:pPr>
      <w:r>
        <w:rPr>
          <w:rFonts w:ascii="Marianne" w:hAnsi="Marianne"/>
          <w:b/>
          <w:bCs/>
          <w:sz w:val="24"/>
        </w:rPr>
        <w:t>INRS, 11/12/2025</w:t>
      </w:r>
      <w:r>
        <w:rPr>
          <w:rFonts w:ascii="Marianne" w:hAnsi="Marianne"/>
          <w:sz w:val="24"/>
        </w:rPr>
        <w:t xml:space="preserve"> : </w:t>
      </w:r>
      <w:hyperlink r:id="rId16" w:history="1">
        <w:r>
          <w:rPr>
            <w:rStyle w:val="Lienhypertexte"/>
            <w:rFonts w:ascii="Marianne" w:hAnsi="Marianne"/>
            <w:sz w:val="24"/>
          </w:rPr>
          <w:t>https://www.inrs.fr/actualites/mesurage-exposition-radon.html</w:t>
        </w:r>
      </w:hyperlink>
    </w:p>
    <w:p w14:paraId="149C8C4C" w14:textId="77777777" w:rsidR="00BD52A4" w:rsidRDefault="00BD52A4" w:rsidP="00BD52A4">
      <w:pPr>
        <w:rPr>
          <w:rFonts w:ascii="Marianne" w:hAnsi="Marianne"/>
          <w:sz w:val="24"/>
        </w:rPr>
      </w:pPr>
      <w:r>
        <w:rPr>
          <w:rFonts w:ascii="Marianne" w:hAnsi="Marianne"/>
          <w:sz w:val="24"/>
        </w:rPr>
        <w:t>Toutes les entreprises doivent s’interroger sur la présence de radon dans leurs locaux de travail et prendre en compte ce risque dans le document unique d’évaluation des risques professionnels. Cette évaluation peut commencer par les locaux situés en sous-sol ou rez-de-chaussée de bâtiments. Pour informer et outiller les entreprises, l’INRS met à disposition différents outils, en particulier pour aider à exploiter les résultats du mesurage qui se fait en période hivernale.</w:t>
      </w:r>
    </w:p>
    <w:p w14:paraId="54BEEF6A" w14:textId="77777777" w:rsidR="00BD52A4" w:rsidRDefault="00BD52A4" w:rsidP="00BD52A4">
      <w:pPr>
        <w:rPr>
          <w:rFonts w:ascii="Marianne" w:hAnsi="Marianne"/>
          <w:sz w:val="24"/>
        </w:rPr>
      </w:pPr>
    </w:p>
    <w:p w14:paraId="3BF38B00" w14:textId="77777777" w:rsidR="00BD52A4" w:rsidRDefault="00BD52A4" w:rsidP="00BD52A4">
      <w:pPr>
        <w:pStyle w:val="Paragraphedeliste"/>
        <w:numPr>
          <w:ilvl w:val="0"/>
          <w:numId w:val="12"/>
        </w:numPr>
        <w:contextualSpacing w:val="0"/>
        <w:rPr>
          <w:rFonts w:ascii="Marianne" w:hAnsi="Marianne"/>
          <w:b/>
          <w:bCs/>
          <w:sz w:val="24"/>
        </w:rPr>
      </w:pPr>
      <w:r>
        <w:rPr>
          <w:rFonts w:ascii="Marianne" w:hAnsi="Marianne"/>
          <w:b/>
          <w:bCs/>
          <w:sz w:val="24"/>
        </w:rPr>
        <w:t>Santé et travail en 2040 : Anticiper les transformations qui façonneront la SST</w:t>
      </w:r>
    </w:p>
    <w:p w14:paraId="09286282" w14:textId="77777777" w:rsidR="00BD52A4" w:rsidRDefault="00BD52A4" w:rsidP="00BD52A4">
      <w:pPr>
        <w:rPr>
          <w:rFonts w:ascii="Marianne" w:hAnsi="Marianne"/>
          <w:sz w:val="24"/>
        </w:rPr>
      </w:pPr>
      <w:r>
        <w:rPr>
          <w:rFonts w:ascii="Marianne" w:hAnsi="Marianne"/>
          <w:b/>
          <w:bCs/>
          <w:sz w:val="24"/>
        </w:rPr>
        <w:t>IRSST, 25/02/2026</w:t>
      </w:r>
      <w:r>
        <w:rPr>
          <w:rFonts w:ascii="Marianne" w:hAnsi="Marianne"/>
          <w:sz w:val="24"/>
        </w:rPr>
        <w:t xml:space="preserve"> : </w:t>
      </w:r>
      <w:hyperlink r:id="rId17" w:history="1">
        <w:r>
          <w:rPr>
            <w:rStyle w:val="Lienhypertexte"/>
            <w:rFonts w:ascii="Marianne" w:hAnsi="Marianne"/>
            <w:sz w:val="24"/>
          </w:rPr>
          <w:t>https://www.irsst.qc.ca/actualites/id/3426/sante-et-travail-en-2040-anticiper-les-transformations-qui-faconneront-la-sst</w:t>
        </w:r>
      </w:hyperlink>
    </w:p>
    <w:p w14:paraId="6D57D118" w14:textId="77777777" w:rsidR="00BD52A4" w:rsidRDefault="00BD52A4" w:rsidP="00BD52A4">
      <w:pPr>
        <w:rPr>
          <w:rFonts w:ascii="Marianne" w:hAnsi="Marianne"/>
          <w:sz w:val="24"/>
        </w:rPr>
      </w:pPr>
      <w:r>
        <w:rPr>
          <w:rFonts w:ascii="Marianne" w:hAnsi="Marianne"/>
          <w:sz w:val="24"/>
        </w:rPr>
        <w:t>L’Institute for Work &amp; Health (IWH) publie la version française de son rapport «</w:t>
      </w:r>
      <w:r>
        <w:rPr>
          <w:rFonts w:ascii="Times New Roman" w:hAnsi="Times New Roman" w:cs="Times New Roman"/>
          <w:sz w:val="24"/>
        </w:rPr>
        <w:t> </w:t>
      </w:r>
      <w:r>
        <w:rPr>
          <w:rFonts w:ascii="Marianne" w:hAnsi="Marianne"/>
          <w:sz w:val="24"/>
        </w:rPr>
        <w:t>Santé et travail en 2040 : anticiper les changements à venir en santé et sécurité des travailleurs</w:t>
      </w:r>
      <w:r>
        <w:rPr>
          <w:rFonts w:ascii="Times New Roman" w:hAnsi="Times New Roman" w:cs="Times New Roman"/>
          <w:sz w:val="24"/>
        </w:rPr>
        <w:t> </w:t>
      </w:r>
      <w:r>
        <w:rPr>
          <w:rFonts w:ascii="Marianne" w:hAnsi="Marianne"/>
          <w:sz w:val="24"/>
        </w:rPr>
        <w:t>», une analyse prospective qui explore les grandes transformations susceptibles d’influencer la santé et la sécurité au travail au cours des prochaines décennies. Le rapport a été officiellement publié en février 2026.</w:t>
      </w:r>
    </w:p>
    <w:p w14:paraId="5CFD6494" w14:textId="77777777" w:rsidR="00BD52A4" w:rsidRDefault="00BD52A4" w:rsidP="00BD52A4">
      <w:pPr>
        <w:rPr>
          <w:rFonts w:ascii="Marianne" w:hAnsi="Marianne"/>
          <w:sz w:val="24"/>
        </w:rPr>
      </w:pPr>
    </w:p>
    <w:p w14:paraId="00085A1C" w14:textId="77777777" w:rsidR="00BD52A4" w:rsidRDefault="00BD52A4" w:rsidP="00BD52A4">
      <w:pPr>
        <w:pStyle w:val="Paragraphedeliste"/>
        <w:numPr>
          <w:ilvl w:val="0"/>
          <w:numId w:val="12"/>
        </w:numPr>
        <w:contextualSpacing w:val="0"/>
        <w:rPr>
          <w:rFonts w:ascii="Marianne" w:hAnsi="Marianne"/>
          <w:b/>
          <w:bCs/>
          <w:sz w:val="24"/>
        </w:rPr>
      </w:pPr>
      <w:r>
        <w:rPr>
          <w:rFonts w:ascii="Marianne" w:hAnsi="Marianne"/>
          <w:b/>
          <w:bCs/>
          <w:sz w:val="24"/>
        </w:rPr>
        <w:t>L'activité des services de prévention et de santé au travail en 2024. Rapport annuel établi par la DGT</w:t>
      </w:r>
    </w:p>
    <w:p w14:paraId="5B759D91" w14:textId="77777777" w:rsidR="00BD52A4" w:rsidRDefault="00BD52A4" w:rsidP="00BD52A4">
      <w:pPr>
        <w:rPr>
          <w:rFonts w:ascii="Marianne" w:hAnsi="Marianne"/>
          <w:sz w:val="24"/>
        </w:rPr>
      </w:pPr>
      <w:r>
        <w:rPr>
          <w:rFonts w:ascii="Marianne" w:hAnsi="Marianne"/>
          <w:b/>
          <w:bCs/>
          <w:sz w:val="24"/>
        </w:rPr>
        <w:t>Ministère du travail, 18/02/2026</w:t>
      </w:r>
      <w:r>
        <w:rPr>
          <w:rFonts w:ascii="Marianne" w:hAnsi="Marianne"/>
          <w:sz w:val="24"/>
        </w:rPr>
        <w:t xml:space="preserve"> : </w:t>
      </w:r>
      <w:hyperlink r:id="rId18" w:history="1">
        <w:r>
          <w:rPr>
            <w:rStyle w:val="Lienhypertexte"/>
            <w:rFonts w:ascii="Marianne" w:hAnsi="Marianne"/>
            <w:sz w:val="24"/>
          </w:rPr>
          <w:t>https://travail-emploi.gouv.fr/lactivite-des-services-de-prevention-et-de-sante-au-travail-en-2024</w:t>
        </w:r>
      </w:hyperlink>
    </w:p>
    <w:p w14:paraId="659628C0" w14:textId="64CAA578" w:rsidR="00BD52A4" w:rsidRDefault="00BD52A4" w:rsidP="00BD52A4">
      <w:pPr>
        <w:rPr>
          <w:b/>
          <w:bCs/>
          <w:color w:val="CB5039"/>
        </w:rPr>
      </w:pPr>
      <w:r>
        <w:rPr>
          <w:rFonts w:ascii="Marianne" w:hAnsi="Marianne"/>
          <w:sz w:val="24"/>
        </w:rPr>
        <w:t>Dans le cadre de la loi du 2 août 2021 pour renforcer la prévention en santé au travail, une enquête annuelle dématérialisée permet de remonter à l’administration les données relatives à l’activité et à la gestion financière des services de prévention et de santé au travail (SPST). Cette enquête, pilotée par la Direction générale du travail (DGT) du ministère du Travail, de la Santé, des Solidarités et des Familles, est renseignée par les directions des SPST interentreprises et des SPST autonomes (SPSTA) sur un outil numérique dédié. Les données des services de santé au travail en agriculture (SSTA), sont également transmises à la DGT par la caisse centrale de la Mutualité sociale agricole (MSA).</w:t>
      </w:r>
    </w:p>
    <w:p w14:paraId="3FA1CADB" w14:textId="77777777" w:rsidR="00B27966" w:rsidRDefault="00B27966" w:rsidP="001F24E3">
      <w:pPr>
        <w:rPr>
          <w:b/>
          <w:bCs/>
          <w:color w:val="CB5039"/>
        </w:rPr>
      </w:pPr>
    </w:p>
    <w:p w14:paraId="0E1782D4" w14:textId="77777777" w:rsidR="00B27966" w:rsidRDefault="00B27966" w:rsidP="00B27966">
      <w:pPr>
        <w:pStyle w:val="Paragraphedeliste"/>
        <w:numPr>
          <w:ilvl w:val="0"/>
          <w:numId w:val="13"/>
        </w:numPr>
        <w:contextualSpacing w:val="0"/>
        <w:rPr>
          <w:rFonts w:ascii="Marianne" w:hAnsi="Marianne"/>
          <w:b/>
          <w:bCs/>
          <w:color w:val="000000"/>
          <w:sz w:val="24"/>
        </w:rPr>
      </w:pPr>
      <w:r>
        <w:rPr>
          <w:rFonts w:ascii="Marianne" w:hAnsi="Marianne"/>
          <w:b/>
          <w:bCs/>
          <w:color w:val="000000"/>
          <w:sz w:val="24"/>
        </w:rPr>
        <w:t>Électrification du transport routier : synthèse des travaux sur les enjeux de prévention de la recharge au dépôt</w:t>
      </w:r>
    </w:p>
    <w:p w14:paraId="3702A4B5" w14:textId="77777777" w:rsidR="00B27966" w:rsidRDefault="00B27966" w:rsidP="00B27966">
      <w:pPr>
        <w:rPr>
          <w:rFonts w:ascii="Marianne" w:hAnsi="Marianne"/>
          <w:color w:val="000000"/>
          <w:sz w:val="24"/>
        </w:rPr>
      </w:pPr>
      <w:r>
        <w:rPr>
          <w:rFonts w:ascii="Marianne" w:hAnsi="Marianne"/>
          <w:b/>
          <w:bCs/>
          <w:color w:val="000000"/>
          <w:sz w:val="24"/>
        </w:rPr>
        <w:t>Direction Générale des Entreprise, 20/02/2026 :</w:t>
      </w:r>
      <w:r>
        <w:rPr>
          <w:rFonts w:ascii="Marianne" w:hAnsi="Marianne"/>
          <w:color w:val="000000"/>
          <w:sz w:val="24"/>
        </w:rPr>
        <w:t xml:space="preserve"> </w:t>
      </w:r>
      <w:hyperlink r:id="rId19" w:history="1">
        <w:r>
          <w:rPr>
            <w:rStyle w:val="Lienhypertexte"/>
            <w:rFonts w:ascii="Marianne" w:hAnsi="Marianne"/>
            <w:sz w:val="24"/>
          </w:rPr>
          <w:t>https://www.entreprises.gouv.fr/la-dge/publications/electrification-du-transport-routier-synthese-des-travaux-sur-les-enjeux-de</w:t>
        </w:r>
      </w:hyperlink>
    </w:p>
    <w:p w14:paraId="7B75753D" w14:textId="77777777" w:rsidR="00B27966" w:rsidRDefault="00B27966" w:rsidP="00B27966">
      <w:pPr>
        <w:rPr>
          <w:rFonts w:ascii="Marianne" w:hAnsi="Marianne"/>
          <w:sz w:val="24"/>
        </w:rPr>
      </w:pPr>
      <w:r>
        <w:rPr>
          <w:rFonts w:ascii="Marianne" w:hAnsi="Marianne"/>
          <w:sz w:val="24"/>
        </w:rPr>
        <w:t xml:space="preserve">Le rapport présente la synthèse des travaux du groupe de travail réunissant professionnels des secteurs du transport et des assurances ainsi que </w:t>
      </w:r>
      <w:proofErr w:type="gramStart"/>
      <w:r>
        <w:rPr>
          <w:rFonts w:ascii="Marianne" w:hAnsi="Marianne"/>
          <w:sz w:val="24"/>
        </w:rPr>
        <w:t>des experts consacré</w:t>
      </w:r>
      <w:proofErr w:type="gramEnd"/>
      <w:r>
        <w:rPr>
          <w:rFonts w:ascii="Marianne" w:hAnsi="Marianne"/>
          <w:sz w:val="24"/>
        </w:rPr>
        <w:t xml:space="preserve"> à la prise en compte des enjeux de prévention des risques dans l’électrification des entrepôts logistiques.</w:t>
      </w:r>
    </w:p>
    <w:p w14:paraId="641F9BEB" w14:textId="77777777" w:rsidR="00B27966" w:rsidRDefault="00B27966" w:rsidP="00B27966">
      <w:pPr>
        <w:rPr>
          <w:rFonts w:ascii="Marianne" w:hAnsi="Marianne"/>
          <w:sz w:val="24"/>
        </w:rPr>
      </w:pPr>
    </w:p>
    <w:p w14:paraId="2BAD82D4" w14:textId="77777777" w:rsidR="00B27966" w:rsidRDefault="00B27966" w:rsidP="00B27966">
      <w:pPr>
        <w:pStyle w:val="Paragraphedeliste"/>
        <w:numPr>
          <w:ilvl w:val="0"/>
          <w:numId w:val="13"/>
        </w:numPr>
        <w:contextualSpacing w:val="0"/>
        <w:rPr>
          <w:rFonts w:ascii="Marianne" w:hAnsi="Marianne"/>
          <w:b/>
          <w:bCs/>
          <w:sz w:val="24"/>
        </w:rPr>
      </w:pPr>
      <w:r>
        <w:rPr>
          <w:rFonts w:ascii="Marianne" w:hAnsi="Marianne"/>
          <w:b/>
          <w:bCs/>
          <w:sz w:val="24"/>
        </w:rPr>
        <w:t>Commission européenne : point sur la nouvelle recommandation relative aux maladies professionnelles</w:t>
      </w:r>
    </w:p>
    <w:p w14:paraId="3A80CD8B" w14:textId="77777777" w:rsidR="00B27966" w:rsidRDefault="00B27966" w:rsidP="00B27966">
      <w:pPr>
        <w:rPr>
          <w:rFonts w:ascii="Marianne" w:hAnsi="Marianne"/>
          <w:sz w:val="24"/>
        </w:rPr>
      </w:pPr>
      <w:r>
        <w:rPr>
          <w:rFonts w:ascii="Marianne" w:hAnsi="Marianne"/>
          <w:b/>
          <w:bCs/>
          <w:sz w:val="24"/>
        </w:rPr>
        <w:lastRenderedPageBreak/>
        <w:t>Commission européenne, 12/01/2026</w:t>
      </w:r>
      <w:r>
        <w:rPr>
          <w:rFonts w:ascii="Marianne" w:hAnsi="Marianne"/>
          <w:sz w:val="24"/>
        </w:rPr>
        <w:t xml:space="preserve"> : </w:t>
      </w:r>
      <w:hyperlink r:id="rId20" w:history="1">
        <w:r>
          <w:rPr>
            <w:rStyle w:val="Lienhypertexte"/>
            <w:rFonts w:ascii="Marianne" w:hAnsi="Marianne"/>
            <w:sz w:val="24"/>
          </w:rPr>
          <w:t>https://eurogip.fr/commission-europeenne-point-sur-la-nouvelle-recommandation-relative-aux-maladies-professionnelles/</w:t>
        </w:r>
      </w:hyperlink>
    </w:p>
    <w:p w14:paraId="5D28574A" w14:textId="7A5A0EC1" w:rsidR="00B27966" w:rsidRDefault="00B27966" w:rsidP="00B27966">
      <w:pPr>
        <w:rPr>
          <w:b/>
          <w:bCs/>
          <w:color w:val="CB5039"/>
        </w:rPr>
      </w:pPr>
      <w:r>
        <w:rPr>
          <w:rFonts w:ascii="Marianne" w:hAnsi="Marianne"/>
          <w:sz w:val="24"/>
        </w:rPr>
        <w:t>En cohérence avec le « Plan européen pour vaincre le cancer » et la communication européenne « Vers un avenir sans amiante », la Commission publie une nouvelle recommandation (2025/2609) relative à la liste européenne des maladies professionnelles.</w:t>
      </w:r>
    </w:p>
    <w:p w14:paraId="2C2E28F1" w14:textId="77777777" w:rsidR="001F24E3" w:rsidRPr="00810876" w:rsidRDefault="001F24E3" w:rsidP="001F24E3">
      <w:pPr>
        <w:rPr>
          <w:b/>
          <w:bCs/>
          <w:color w:val="CB5039"/>
        </w:rPr>
      </w:pPr>
    </w:p>
    <w:p w14:paraId="2FB746A1" w14:textId="6855A5D3" w:rsidR="008959BC" w:rsidRPr="002C4492" w:rsidRDefault="008959BC" w:rsidP="00DD092E"/>
    <w:sectPr w:rsidR="008959BC" w:rsidRPr="002C4492">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75E8" w14:textId="77777777" w:rsidR="00315635" w:rsidRDefault="00315635" w:rsidP="00FF3345">
      <w:r>
        <w:separator/>
      </w:r>
    </w:p>
  </w:endnote>
  <w:endnote w:type="continuationSeparator" w:id="0">
    <w:p w14:paraId="1DCB0DE9" w14:textId="77777777" w:rsidR="00315635" w:rsidRDefault="00315635" w:rsidP="00FF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315C" w14:textId="77777777" w:rsidR="00315635" w:rsidRDefault="00315635" w:rsidP="00FF3345">
      <w:r>
        <w:separator/>
      </w:r>
    </w:p>
  </w:footnote>
  <w:footnote w:type="continuationSeparator" w:id="0">
    <w:p w14:paraId="05368F53" w14:textId="77777777" w:rsidR="00315635" w:rsidRDefault="00315635" w:rsidP="00FF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9EA5" w14:textId="4ADFE898" w:rsidR="00754CD3" w:rsidRDefault="00754CD3" w:rsidP="00FF3345">
    <w:pPr>
      <w:pStyle w:val="En-tte"/>
      <w:jc w:val="right"/>
    </w:pPr>
    <w:r>
      <w:rPr>
        <w:noProof/>
      </w:rPr>
      <w:drawing>
        <wp:anchor distT="0" distB="0" distL="114300" distR="114300" simplePos="0" relativeHeight="251658240" behindDoc="0" locked="0" layoutInCell="1" allowOverlap="1" wp14:anchorId="290556EC" wp14:editId="173524BF">
          <wp:simplePos x="0" y="0"/>
          <wp:positionH relativeFrom="column">
            <wp:posOffset>4923859</wp:posOffset>
          </wp:positionH>
          <wp:positionV relativeFrom="paragraph">
            <wp:posOffset>-100657</wp:posOffset>
          </wp:positionV>
          <wp:extent cx="1567815" cy="706120"/>
          <wp:effectExtent l="0" t="0" r="0" b="0"/>
          <wp:wrapNone/>
          <wp:docPr id="7020114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11420" name="Image 702011420"/>
                  <pic:cNvPicPr/>
                </pic:nvPicPr>
                <pic:blipFill>
                  <a:blip r:embed="rId1">
                    <a:extLst>
                      <a:ext uri="{28A0092B-C50C-407E-A947-70E740481C1C}">
                        <a14:useLocalDpi xmlns:a14="http://schemas.microsoft.com/office/drawing/2010/main" val="0"/>
                      </a:ext>
                    </a:extLst>
                  </a:blip>
                  <a:stretch>
                    <a:fillRect/>
                  </a:stretch>
                </pic:blipFill>
                <pic:spPr>
                  <a:xfrm>
                    <a:off x="0" y="0"/>
                    <a:ext cx="1567815" cy="706120"/>
                  </a:xfrm>
                  <a:prstGeom prst="rect">
                    <a:avLst/>
                  </a:prstGeom>
                </pic:spPr>
              </pic:pic>
            </a:graphicData>
          </a:graphic>
        </wp:anchor>
      </w:drawing>
    </w:r>
  </w:p>
  <w:p w14:paraId="2058254C" w14:textId="77777777" w:rsidR="00754CD3" w:rsidRDefault="00754CD3" w:rsidP="00FF3345">
    <w:pPr>
      <w:pStyle w:val="En-tte"/>
      <w:jc w:val="right"/>
    </w:pPr>
  </w:p>
  <w:p w14:paraId="640BCB1E" w14:textId="77777777" w:rsidR="00754CD3" w:rsidRDefault="00754CD3" w:rsidP="00FF3345">
    <w:pPr>
      <w:pStyle w:val="En-tte"/>
      <w:jc w:val="right"/>
    </w:pPr>
  </w:p>
  <w:p w14:paraId="483DA511" w14:textId="4B099D2F" w:rsidR="00FF3345" w:rsidRDefault="00754CD3" w:rsidP="00FF3345">
    <w:pPr>
      <w:pStyle w:val="En-tte"/>
      <w:jc w:val="right"/>
    </w:pPr>
    <w:r>
      <w:rPr>
        <w:noProof/>
      </w:rPr>
      <w:drawing>
        <wp:inline distT="0" distB="0" distL="0" distR="0" wp14:anchorId="6CED5A57" wp14:editId="2E300C49">
          <wp:extent cx="6707423" cy="523240"/>
          <wp:effectExtent l="0" t="0" r="0" b="0"/>
          <wp:docPr id="14665701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70157" name="Image 1466570157"/>
                  <pic:cNvPicPr/>
                </pic:nvPicPr>
                <pic:blipFill rotWithShape="1">
                  <a:blip r:embed="rId2" cstate="print">
                    <a:extLst>
                      <a:ext uri="{28A0092B-C50C-407E-A947-70E740481C1C}">
                        <a14:useLocalDpi xmlns:a14="http://schemas.microsoft.com/office/drawing/2010/main" val="0"/>
                      </a:ext>
                    </a:extLst>
                  </a:blip>
                  <a:srcRect r="2903"/>
                  <a:stretch/>
                </pic:blipFill>
                <pic:spPr bwMode="auto">
                  <a:xfrm>
                    <a:off x="0" y="0"/>
                    <a:ext cx="7095565" cy="5535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77.75pt" o:bullet="t">
        <v:imagedata r:id="rId1" o:title="Laetitia_picto-illustrations-personnages-19"/>
      </v:shape>
    </w:pict>
  </w:numPicBullet>
  <w:numPicBullet w:numPicBulletId="1">
    <w:pict>
      <v:shape w14:anchorId="37B19A25" id="_x0000_i1026" type="#_x0000_t75" style="width:47.25pt;height:56.45pt" o:bullet="t">
        <v:imagedata r:id="rId2" o:title="clip_image001"/>
      </v:shape>
    </w:pict>
  </w:numPicBullet>
  <w:numPicBullet w:numPicBulletId="2">
    <w:pict>
      <v:shape id="_x0000_i1027" type="#_x0000_t75" style="width:11.5pt;height:11.5pt" o:bullet="t">
        <v:imagedata r:id="rId3" o:title="clip_image002"/>
      </v:shape>
    </w:pict>
  </w:numPicBullet>
  <w:abstractNum w:abstractNumId="0" w15:restartNumberingAfterBreak="0">
    <w:nsid w:val="0A4B15BB"/>
    <w:multiLevelType w:val="hybridMultilevel"/>
    <w:tmpl w:val="7D28E242"/>
    <w:lvl w:ilvl="0" w:tplc="B8CAA73E">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5F90B68"/>
    <w:multiLevelType w:val="hybridMultilevel"/>
    <w:tmpl w:val="7A4AD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6C608A"/>
    <w:multiLevelType w:val="hybridMultilevel"/>
    <w:tmpl w:val="A052D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51E067C"/>
    <w:multiLevelType w:val="hybridMultilevel"/>
    <w:tmpl w:val="CEEE3132"/>
    <w:lvl w:ilvl="0" w:tplc="012A158C">
      <w:start w:val="1"/>
      <w:numFmt w:val="bullet"/>
      <w:pStyle w:val="Paragraphedeliste"/>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3D7701E"/>
    <w:multiLevelType w:val="multilevel"/>
    <w:tmpl w:val="F990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30086"/>
    <w:multiLevelType w:val="hybridMultilevel"/>
    <w:tmpl w:val="E6B2FF8C"/>
    <w:lvl w:ilvl="0" w:tplc="B8CAA73E">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7A67FA4"/>
    <w:multiLevelType w:val="hybridMultilevel"/>
    <w:tmpl w:val="A5F40D9E"/>
    <w:lvl w:ilvl="0" w:tplc="FAE6CFA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D6F71F7"/>
    <w:multiLevelType w:val="hybridMultilevel"/>
    <w:tmpl w:val="34DE8E3C"/>
    <w:lvl w:ilvl="0" w:tplc="D0CE1F96">
      <w:numFmt w:val="bullet"/>
      <w:lvlText w:val="-"/>
      <w:lvlJc w:val="left"/>
      <w:pPr>
        <w:ind w:left="720" w:hanging="360"/>
      </w:pPr>
      <w:rPr>
        <w:rFonts w:ascii="Marianne" w:eastAsia="Times New Roman" w:hAnsi="Marianne"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E0254AB"/>
    <w:multiLevelType w:val="hybridMultilevel"/>
    <w:tmpl w:val="89F273B6"/>
    <w:lvl w:ilvl="0" w:tplc="B8CAA73E">
      <w:start w:val="1"/>
      <w:numFmt w:val="bullet"/>
      <w:lvlText w:val=""/>
      <w:lvlPicBulletId w:val="1"/>
      <w:lvlJc w:val="left"/>
      <w:pPr>
        <w:ind w:left="720" w:hanging="360"/>
      </w:pPr>
      <w:rPr>
        <w:rFonts w:ascii="Symbol" w:hAnsi="Symbol" w:hint="default"/>
        <w:color w:val="auto"/>
      </w:rPr>
    </w:lvl>
    <w:lvl w:ilvl="1" w:tplc="040C0007">
      <w:start w:val="1"/>
      <w:numFmt w:val="bullet"/>
      <w:lvlText w:val=""/>
      <w:lvlPicBulletId w:val="2"/>
      <w:lvlJc w:val="left"/>
      <w:pPr>
        <w:ind w:left="1440" w:hanging="360"/>
      </w:pPr>
      <w:rPr>
        <w:rFonts w:ascii="Symbol" w:hAnsi="Symbol" w:hint="default"/>
      </w:rPr>
    </w:lvl>
    <w:lvl w:ilvl="2" w:tplc="040C0007">
      <w:start w:val="1"/>
      <w:numFmt w:val="bullet"/>
      <w:lvlText w:val=""/>
      <w:lvlPicBulletId w:val="2"/>
      <w:lvlJc w:val="left"/>
      <w:pPr>
        <w:ind w:left="1428"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64072222">
    <w:abstractNumId w:val="3"/>
  </w:num>
  <w:num w:numId="2" w16cid:durableId="456722032">
    <w:abstractNumId w:val="1"/>
  </w:num>
  <w:num w:numId="3" w16cid:durableId="1305743075">
    <w:abstractNumId w:val="8"/>
  </w:num>
  <w:num w:numId="4" w16cid:durableId="1017345827">
    <w:abstractNumId w:val="0"/>
  </w:num>
  <w:num w:numId="5" w16cid:durableId="1252472965">
    <w:abstractNumId w:val="8"/>
  </w:num>
  <w:num w:numId="6" w16cid:durableId="591741375">
    <w:abstractNumId w:val="4"/>
  </w:num>
  <w:num w:numId="7" w16cid:durableId="1475486294">
    <w:abstractNumId w:val="5"/>
  </w:num>
  <w:num w:numId="8" w16cid:durableId="845822348">
    <w:abstractNumId w:val="0"/>
  </w:num>
  <w:num w:numId="9" w16cid:durableId="1614898404">
    <w:abstractNumId w:val="2"/>
  </w:num>
  <w:num w:numId="10" w16cid:durableId="661159405">
    <w:abstractNumId w:val="8"/>
  </w:num>
  <w:num w:numId="11" w16cid:durableId="364790764">
    <w:abstractNumId w:val="6"/>
  </w:num>
  <w:num w:numId="12" w16cid:durableId="87963879">
    <w:abstractNumId w:val="0"/>
  </w:num>
  <w:num w:numId="13" w16cid:durableId="288753374">
    <w:abstractNumId w:val="5"/>
  </w:num>
  <w:num w:numId="14" w16cid:durableId="9063802">
    <w:abstractNumId w:val="0"/>
    <w:lvlOverride w:ilvl="0"/>
    <w:lvlOverride w:ilvl="1"/>
    <w:lvlOverride w:ilvl="2"/>
    <w:lvlOverride w:ilvl="3"/>
    <w:lvlOverride w:ilvl="4"/>
    <w:lvlOverride w:ilvl="5"/>
    <w:lvlOverride w:ilvl="6"/>
    <w:lvlOverride w:ilvl="7"/>
    <w:lvlOverride w:ilvl="8"/>
  </w:num>
  <w:num w:numId="15" w16cid:durableId="109146684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45"/>
    <w:rsid w:val="000546A5"/>
    <w:rsid w:val="000D557B"/>
    <w:rsid w:val="0015055D"/>
    <w:rsid w:val="001F24E3"/>
    <w:rsid w:val="002C4492"/>
    <w:rsid w:val="00302D13"/>
    <w:rsid w:val="00315635"/>
    <w:rsid w:val="00333125"/>
    <w:rsid w:val="00371773"/>
    <w:rsid w:val="00441A4E"/>
    <w:rsid w:val="005A57EB"/>
    <w:rsid w:val="005C3D10"/>
    <w:rsid w:val="00600FFD"/>
    <w:rsid w:val="00601161"/>
    <w:rsid w:val="00704C37"/>
    <w:rsid w:val="00742F0C"/>
    <w:rsid w:val="00747997"/>
    <w:rsid w:val="00754CD3"/>
    <w:rsid w:val="007579FD"/>
    <w:rsid w:val="00780D70"/>
    <w:rsid w:val="00810876"/>
    <w:rsid w:val="008510FE"/>
    <w:rsid w:val="008959BC"/>
    <w:rsid w:val="008D292A"/>
    <w:rsid w:val="00A64819"/>
    <w:rsid w:val="00A96E1B"/>
    <w:rsid w:val="00B27966"/>
    <w:rsid w:val="00B40794"/>
    <w:rsid w:val="00B520B2"/>
    <w:rsid w:val="00B608B2"/>
    <w:rsid w:val="00BB4EF0"/>
    <w:rsid w:val="00BD52A4"/>
    <w:rsid w:val="00BF538A"/>
    <w:rsid w:val="00C472AF"/>
    <w:rsid w:val="00C62251"/>
    <w:rsid w:val="00C8718A"/>
    <w:rsid w:val="00CA51D7"/>
    <w:rsid w:val="00CE258C"/>
    <w:rsid w:val="00CF295F"/>
    <w:rsid w:val="00D039BD"/>
    <w:rsid w:val="00DD092E"/>
    <w:rsid w:val="00DF38E2"/>
    <w:rsid w:val="00E03118"/>
    <w:rsid w:val="00E049CD"/>
    <w:rsid w:val="00E535E5"/>
    <w:rsid w:val="00EE45C8"/>
    <w:rsid w:val="00EF1618"/>
    <w:rsid w:val="00FE0E23"/>
    <w:rsid w:val="00FF3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0C4BB7E"/>
  <w15:chartTrackingRefBased/>
  <w15:docId w15:val="{5C3ACDFC-A2D4-45A2-BB4D-3384AAB5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D3"/>
    <w:rPr>
      <w:sz w:val="22"/>
    </w:rPr>
  </w:style>
  <w:style w:type="paragraph" w:styleId="Titre1">
    <w:name w:val="heading 1"/>
    <w:basedOn w:val="Normal"/>
    <w:next w:val="Normal"/>
    <w:link w:val="Titre1Car"/>
    <w:uiPriority w:val="9"/>
    <w:qFormat/>
    <w:rsid w:val="00754CD3"/>
    <w:pPr>
      <w:keepNext/>
      <w:keepLines/>
      <w:spacing w:before="360" w:after="80"/>
      <w:jc w:val="center"/>
      <w:outlineLvl w:val="0"/>
    </w:pPr>
    <w:rPr>
      <w:rFonts w:asciiTheme="majorHAnsi" w:eastAsiaTheme="majorEastAsia" w:hAnsiTheme="majorHAnsi" w:cstheme="majorBidi"/>
      <w:b/>
      <w:sz w:val="44"/>
      <w:szCs w:val="40"/>
    </w:rPr>
  </w:style>
  <w:style w:type="paragraph" w:styleId="Titre2">
    <w:name w:val="heading 2"/>
    <w:basedOn w:val="Normal"/>
    <w:next w:val="Normal"/>
    <w:link w:val="Titre2Car"/>
    <w:uiPriority w:val="9"/>
    <w:unhideWhenUsed/>
    <w:qFormat/>
    <w:rsid w:val="00754CD3"/>
    <w:pPr>
      <w:keepNext/>
      <w:keepLines/>
      <w:spacing w:before="160" w:after="80"/>
      <w:outlineLvl w:val="1"/>
    </w:pPr>
    <w:rPr>
      <w:rFonts w:asciiTheme="majorHAnsi" w:eastAsiaTheme="majorEastAsia" w:hAnsiTheme="majorHAnsi" w:cstheme="majorBidi"/>
      <w:b/>
      <w:color w:val="0B7E9D" w:themeColor="accent1"/>
      <w:sz w:val="28"/>
      <w:szCs w:val="32"/>
    </w:rPr>
  </w:style>
  <w:style w:type="paragraph" w:styleId="Titre3">
    <w:name w:val="heading 3"/>
    <w:basedOn w:val="Normal"/>
    <w:next w:val="Normal"/>
    <w:link w:val="Titre3Car"/>
    <w:uiPriority w:val="9"/>
    <w:semiHidden/>
    <w:unhideWhenUsed/>
    <w:qFormat/>
    <w:rsid w:val="00FF3345"/>
    <w:pPr>
      <w:keepNext/>
      <w:keepLines/>
      <w:spacing w:before="160" w:after="80"/>
      <w:outlineLvl w:val="2"/>
    </w:pPr>
    <w:rPr>
      <w:rFonts w:eastAsiaTheme="majorEastAsia" w:cstheme="majorBidi"/>
      <w:color w:val="085D75" w:themeColor="accent1" w:themeShade="BF"/>
      <w:sz w:val="28"/>
      <w:szCs w:val="28"/>
    </w:rPr>
  </w:style>
  <w:style w:type="paragraph" w:styleId="Titre4">
    <w:name w:val="heading 4"/>
    <w:basedOn w:val="Normal"/>
    <w:next w:val="Normal"/>
    <w:link w:val="Titre4Car"/>
    <w:uiPriority w:val="9"/>
    <w:semiHidden/>
    <w:unhideWhenUsed/>
    <w:qFormat/>
    <w:rsid w:val="00FF3345"/>
    <w:pPr>
      <w:keepNext/>
      <w:keepLines/>
      <w:spacing w:before="80" w:after="40"/>
      <w:outlineLvl w:val="3"/>
    </w:pPr>
    <w:rPr>
      <w:rFonts w:eastAsiaTheme="majorEastAsia" w:cstheme="majorBidi"/>
      <w:i/>
      <w:iCs/>
      <w:color w:val="085D75" w:themeColor="accent1" w:themeShade="BF"/>
    </w:rPr>
  </w:style>
  <w:style w:type="paragraph" w:styleId="Titre5">
    <w:name w:val="heading 5"/>
    <w:basedOn w:val="Normal"/>
    <w:next w:val="Normal"/>
    <w:link w:val="Titre5Car"/>
    <w:uiPriority w:val="9"/>
    <w:semiHidden/>
    <w:unhideWhenUsed/>
    <w:qFormat/>
    <w:rsid w:val="00FF3345"/>
    <w:pPr>
      <w:keepNext/>
      <w:keepLines/>
      <w:spacing w:before="80" w:after="40"/>
      <w:outlineLvl w:val="4"/>
    </w:pPr>
    <w:rPr>
      <w:rFonts w:eastAsiaTheme="majorEastAsia" w:cstheme="majorBidi"/>
      <w:color w:val="085D75" w:themeColor="accent1" w:themeShade="BF"/>
    </w:rPr>
  </w:style>
  <w:style w:type="paragraph" w:styleId="Titre6">
    <w:name w:val="heading 6"/>
    <w:basedOn w:val="Normal"/>
    <w:next w:val="Normal"/>
    <w:link w:val="Titre6Car"/>
    <w:uiPriority w:val="9"/>
    <w:semiHidden/>
    <w:unhideWhenUsed/>
    <w:qFormat/>
    <w:rsid w:val="00FF33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33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33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334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4CD3"/>
    <w:rPr>
      <w:rFonts w:asciiTheme="majorHAnsi" w:eastAsiaTheme="majorEastAsia" w:hAnsiTheme="majorHAnsi" w:cstheme="majorBidi"/>
      <w:b/>
      <w:sz w:val="44"/>
      <w:szCs w:val="40"/>
    </w:rPr>
  </w:style>
  <w:style w:type="character" w:customStyle="1" w:styleId="Titre2Car">
    <w:name w:val="Titre 2 Car"/>
    <w:basedOn w:val="Policepardfaut"/>
    <w:link w:val="Titre2"/>
    <w:uiPriority w:val="9"/>
    <w:rsid w:val="00754CD3"/>
    <w:rPr>
      <w:rFonts w:asciiTheme="majorHAnsi" w:eastAsiaTheme="majorEastAsia" w:hAnsiTheme="majorHAnsi" w:cstheme="majorBidi"/>
      <w:b/>
      <w:color w:val="0B7E9D" w:themeColor="accent1"/>
      <w:sz w:val="28"/>
      <w:szCs w:val="32"/>
    </w:rPr>
  </w:style>
  <w:style w:type="character" w:customStyle="1" w:styleId="Titre3Car">
    <w:name w:val="Titre 3 Car"/>
    <w:basedOn w:val="Policepardfaut"/>
    <w:link w:val="Titre3"/>
    <w:uiPriority w:val="9"/>
    <w:semiHidden/>
    <w:rsid w:val="00FF3345"/>
    <w:rPr>
      <w:rFonts w:eastAsiaTheme="majorEastAsia" w:cstheme="majorBidi"/>
      <w:color w:val="085D75" w:themeColor="accent1" w:themeShade="BF"/>
      <w:sz w:val="28"/>
      <w:szCs w:val="28"/>
    </w:rPr>
  </w:style>
  <w:style w:type="character" w:customStyle="1" w:styleId="Titre4Car">
    <w:name w:val="Titre 4 Car"/>
    <w:basedOn w:val="Policepardfaut"/>
    <w:link w:val="Titre4"/>
    <w:uiPriority w:val="9"/>
    <w:semiHidden/>
    <w:rsid w:val="00FF3345"/>
    <w:rPr>
      <w:rFonts w:eastAsiaTheme="majorEastAsia" w:cstheme="majorBidi"/>
      <w:i/>
      <w:iCs/>
      <w:color w:val="085D75" w:themeColor="accent1" w:themeShade="BF"/>
    </w:rPr>
  </w:style>
  <w:style w:type="character" w:customStyle="1" w:styleId="Titre5Car">
    <w:name w:val="Titre 5 Car"/>
    <w:basedOn w:val="Policepardfaut"/>
    <w:link w:val="Titre5"/>
    <w:uiPriority w:val="9"/>
    <w:semiHidden/>
    <w:rsid w:val="00FF3345"/>
    <w:rPr>
      <w:rFonts w:eastAsiaTheme="majorEastAsia" w:cstheme="majorBidi"/>
      <w:color w:val="085D75" w:themeColor="accent1" w:themeShade="BF"/>
    </w:rPr>
  </w:style>
  <w:style w:type="character" w:customStyle="1" w:styleId="Titre6Car">
    <w:name w:val="Titre 6 Car"/>
    <w:basedOn w:val="Policepardfaut"/>
    <w:link w:val="Titre6"/>
    <w:uiPriority w:val="9"/>
    <w:semiHidden/>
    <w:rsid w:val="00FF33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33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33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3345"/>
    <w:rPr>
      <w:rFonts w:eastAsiaTheme="majorEastAsia" w:cstheme="majorBidi"/>
      <w:color w:val="272727" w:themeColor="text1" w:themeTint="D8"/>
    </w:rPr>
  </w:style>
  <w:style w:type="paragraph" w:styleId="Titre">
    <w:name w:val="Title"/>
    <w:basedOn w:val="Normal"/>
    <w:next w:val="Normal"/>
    <w:link w:val="TitreCar"/>
    <w:uiPriority w:val="10"/>
    <w:qFormat/>
    <w:rsid w:val="00FF33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33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2F0C"/>
    <w:pPr>
      <w:numPr>
        <w:ilvl w:val="1"/>
      </w:numPr>
      <w:jc w:val="center"/>
    </w:pPr>
    <w:rPr>
      <w:rFonts w:eastAsiaTheme="majorEastAsia" w:cstheme="majorBidi"/>
      <w:color w:val="000000" w:themeColor="text1" w:themeShade="BF"/>
      <w:spacing w:val="15"/>
      <w:szCs w:val="28"/>
    </w:rPr>
  </w:style>
  <w:style w:type="character" w:customStyle="1" w:styleId="Sous-titreCar">
    <w:name w:val="Sous-titre Car"/>
    <w:basedOn w:val="Policepardfaut"/>
    <w:link w:val="Sous-titre"/>
    <w:uiPriority w:val="11"/>
    <w:rsid w:val="00742F0C"/>
    <w:rPr>
      <w:rFonts w:eastAsiaTheme="majorEastAsia" w:cstheme="majorBidi"/>
      <w:color w:val="000000" w:themeColor="text1" w:themeShade="BF"/>
      <w:spacing w:val="15"/>
      <w:szCs w:val="28"/>
    </w:rPr>
  </w:style>
  <w:style w:type="paragraph" w:styleId="Citation">
    <w:name w:val="Quote"/>
    <w:basedOn w:val="Normal"/>
    <w:next w:val="Normal"/>
    <w:link w:val="CitationCar"/>
    <w:uiPriority w:val="29"/>
    <w:qFormat/>
    <w:rsid w:val="00FF3345"/>
    <w:pPr>
      <w:spacing w:before="160"/>
      <w:jc w:val="center"/>
    </w:pPr>
    <w:rPr>
      <w:i/>
      <w:iCs/>
      <w:color w:val="404040" w:themeColor="text1" w:themeTint="BF"/>
    </w:rPr>
  </w:style>
  <w:style w:type="character" w:customStyle="1" w:styleId="CitationCar">
    <w:name w:val="Citation Car"/>
    <w:basedOn w:val="Policepardfaut"/>
    <w:link w:val="Citation"/>
    <w:uiPriority w:val="29"/>
    <w:rsid w:val="00FF3345"/>
    <w:rPr>
      <w:i/>
      <w:iCs/>
      <w:color w:val="404040" w:themeColor="text1" w:themeTint="BF"/>
    </w:rPr>
  </w:style>
  <w:style w:type="paragraph" w:styleId="Paragraphedeliste">
    <w:name w:val="List Paragraph"/>
    <w:uiPriority w:val="34"/>
    <w:qFormat/>
    <w:rsid w:val="0015055D"/>
    <w:pPr>
      <w:numPr>
        <w:numId w:val="1"/>
      </w:numPr>
      <w:ind w:left="568" w:hanging="284"/>
      <w:contextualSpacing/>
    </w:pPr>
    <w:rPr>
      <w:sz w:val="22"/>
    </w:rPr>
  </w:style>
  <w:style w:type="character" w:styleId="Accentuationintense">
    <w:name w:val="Intense Emphasis"/>
    <w:basedOn w:val="Policepardfaut"/>
    <w:uiPriority w:val="21"/>
    <w:qFormat/>
    <w:rsid w:val="00FF3345"/>
    <w:rPr>
      <w:i/>
      <w:iCs/>
      <w:color w:val="085D75" w:themeColor="accent1" w:themeShade="BF"/>
    </w:rPr>
  </w:style>
  <w:style w:type="paragraph" w:styleId="Citationintense">
    <w:name w:val="Intense Quote"/>
    <w:basedOn w:val="Normal"/>
    <w:next w:val="Normal"/>
    <w:link w:val="CitationintenseCar"/>
    <w:uiPriority w:val="30"/>
    <w:qFormat/>
    <w:rsid w:val="00FF3345"/>
    <w:pPr>
      <w:pBdr>
        <w:top w:val="single" w:sz="4" w:space="10" w:color="085D75" w:themeColor="accent1" w:themeShade="BF"/>
        <w:bottom w:val="single" w:sz="4" w:space="10" w:color="085D75" w:themeColor="accent1" w:themeShade="BF"/>
      </w:pBdr>
      <w:spacing w:before="360" w:after="360"/>
      <w:ind w:left="864" w:right="864"/>
      <w:jc w:val="center"/>
    </w:pPr>
    <w:rPr>
      <w:i/>
      <w:iCs/>
      <w:color w:val="085D75" w:themeColor="accent1" w:themeShade="BF"/>
    </w:rPr>
  </w:style>
  <w:style w:type="character" w:customStyle="1" w:styleId="CitationintenseCar">
    <w:name w:val="Citation intense Car"/>
    <w:basedOn w:val="Policepardfaut"/>
    <w:link w:val="Citationintense"/>
    <w:uiPriority w:val="30"/>
    <w:rsid w:val="00FF3345"/>
    <w:rPr>
      <w:i/>
      <w:iCs/>
      <w:color w:val="085D75" w:themeColor="accent1" w:themeShade="BF"/>
    </w:rPr>
  </w:style>
  <w:style w:type="character" w:styleId="Rfrenceintense">
    <w:name w:val="Intense Reference"/>
    <w:basedOn w:val="Policepardfaut"/>
    <w:uiPriority w:val="32"/>
    <w:qFormat/>
    <w:rsid w:val="00FF3345"/>
    <w:rPr>
      <w:b/>
      <w:bCs/>
      <w:smallCaps/>
      <w:color w:val="085D75" w:themeColor="accent1" w:themeShade="BF"/>
      <w:spacing w:val="5"/>
    </w:rPr>
  </w:style>
  <w:style w:type="paragraph" w:styleId="En-tte">
    <w:name w:val="header"/>
    <w:basedOn w:val="Normal"/>
    <w:link w:val="En-tteCar"/>
    <w:uiPriority w:val="99"/>
    <w:unhideWhenUsed/>
    <w:rsid w:val="00FF3345"/>
    <w:pPr>
      <w:tabs>
        <w:tab w:val="center" w:pos="4536"/>
        <w:tab w:val="right" w:pos="9072"/>
      </w:tabs>
    </w:pPr>
  </w:style>
  <w:style w:type="character" w:customStyle="1" w:styleId="En-tteCar">
    <w:name w:val="En-tête Car"/>
    <w:basedOn w:val="Policepardfaut"/>
    <w:link w:val="En-tte"/>
    <w:uiPriority w:val="99"/>
    <w:rsid w:val="00FF3345"/>
  </w:style>
  <w:style w:type="paragraph" w:styleId="Pieddepage">
    <w:name w:val="footer"/>
    <w:basedOn w:val="Normal"/>
    <w:link w:val="PieddepageCar"/>
    <w:uiPriority w:val="99"/>
    <w:unhideWhenUsed/>
    <w:rsid w:val="00FF3345"/>
    <w:pPr>
      <w:tabs>
        <w:tab w:val="center" w:pos="4536"/>
        <w:tab w:val="right" w:pos="9072"/>
      </w:tabs>
    </w:pPr>
  </w:style>
  <w:style w:type="character" w:customStyle="1" w:styleId="PieddepageCar">
    <w:name w:val="Pied de page Car"/>
    <w:basedOn w:val="Policepardfaut"/>
    <w:link w:val="Pieddepage"/>
    <w:uiPriority w:val="99"/>
    <w:rsid w:val="00FF3345"/>
  </w:style>
  <w:style w:type="paragraph" w:customStyle="1" w:styleId="Chap">
    <w:name w:val="Chapô"/>
    <w:qFormat/>
    <w:rsid w:val="00754CD3"/>
  </w:style>
  <w:style w:type="character" w:styleId="Lienhypertexte">
    <w:name w:val="Hyperlink"/>
    <w:basedOn w:val="Policepardfaut"/>
    <w:uiPriority w:val="99"/>
    <w:unhideWhenUsed/>
    <w:rsid w:val="00601161"/>
    <w:rPr>
      <w:color w:val="0000FF" w:themeColor="hyperlink"/>
      <w:u w:val="single"/>
    </w:rPr>
  </w:style>
  <w:style w:type="character" w:styleId="Mentionnonrsolue">
    <w:name w:val="Unresolved Mention"/>
    <w:basedOn w:val="Policepardfaut"/>
    <w:uiPriority w:val="99"/>
    <w:semiHidden/>
    <w:unhideWhenUsed/>
    <w:rsid w:val="0060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5667">
      <w:bodyDiv w:val="1"/>
      <w:marLeft w:val="0"/>
      <w:marRight w:val="0"/>
      <w:marTop w:val="0"/>
      <w:marBottom w:val="0"/>
      <w:divBdr>
        <w:top w:val="none" w:sz="0" w:space="0" w:color="auto"/>
        <w:left w:val="none" w:sz="0" w:space="0" w:color="auto"/>
        <w:bottom w:val="none" w:sz="0" w:space="0" w:color="auto"/>
        <w:right w:val="none" w:sz="0" w:space="0" w:color="auto"/>
      </w:divBdr>
    </w:div>
    <w:div w:id="273950011">
      <w:bodyDiv w:val="1"/>
      <w:marLeft w:val="0"/>
      <w:marRight w:val="0"/>
      <w:marTop w:val="0"/>
      <w:marBottom w:val="0"/>
      <w:divBdr>
        <w:top w:val="none" w:sz="0" w:space="0" w:color="auto"/>
        <w:left w:val="none" w:sz="0" w:space="0" w:color="auto"/>
        <w:bottom w:val="none" w:sz="0" w:space="0" w:color="auto"/>
        <w:right w:val="none" w:sz="0" w:space="0" w:color="auto"/>
      </w:divBdr>
    </w:div>
    <w:div w:id="651181404">
      <w:bodyDiv w:val="1"/>
      <w:marLeft w:val="0"/>
      <w:marRight w:val="0"/>
      <w:marTop w:val="0"/>
      <w:marBottom w:val="0"/>
      <w:divBdr>
        <w:top w:val="none" w:sz="0" w:space="0" w:color="auto"/>
        <w:left w:val="none" w:sz="0" w:space="0" w:color="auto"/>
        <w:bottom w:val="none" w:sz="0" w:space="0" w:color="auto"/>
        <w:right w:val="none" w:sz="0" w:space="0" w:color="auto"/>
      </w:divBdr>
    </w:div>
    <w:div w:id="801924707">
      <w:bodyDiv w:val="1"/>
      <w:marLeft w:val="0"/>
      <w:marRight w:val="0"/>
      <w:marTop w:val="0"/>
      <w:marBottom w:val="0"/>
      <w:divBdr>
        <w:top w:val="none" w:sz="0" w:space="0" w:color="auto"/>
        <w:left w:val="none" w:sz="0" w:space="0" w:color="auto"/>
        <w:bottom w:val="none" w:sz="0" w:space="0" w:color="auto"/>
        <w:right w:val="none" w:sz="0" w:space="0" w:color="auto"/>
      </w:divBdr>
    </w:div>
    <w:div w:id="839348462">
      <w:bodyDiv w:val="1"/>
      <w:marLeft w:val="0"/>
      <w:marRight w:val="0"/>
      <w:marTop w:val="0"/>
      <w:marBottom w:val="0"/>
      <w:divBdr>
        <w:top w:val="none" w:sz="0" w:space="0" w:color="auto"/>
        <w:left w:val="none" w:sz="0" w:space="0" w:color="auto"/>
        <w:bottom w:val="none" w:sz="0" w:space="0" w:color="auto"/>
        <w:right w:val="none" w:sz="0" w:space="0" w:color="auto"/>
      </w:divBdr>
    </w:div>
    <w:div w:id="968048979">
      <w:bodyDiv w:val="1"/>
      <w:marLeft w:val="0"/>
      <w:marRight w:val="0"/>
      <w:marTop w:val="0"/>
      <w:marBottom w:val="0"/>
      <w:divBdr>
        <w:top w:val="none" w:sz="0" w:space="0" w:color="auto"/>
        <w:left w:val="none" w:sz="0" w:space="0" w:color="auto"/>
        <w:bottom w:val="none" w:sz="0" w:space="0" w:color="auto"/>
        <w:right w:val="none" w:sz="0" w:space="0" w:color="auto"/>
      </w:divBdr>
    </w:div>
    <w:div w:id="1063406653">
      <w:bodyDiv w:val="1"/>
      <w:marLeft w:val="0"/>
      <w:marRight w:val="0"/>
      <w:marTop w:val="0"/>
      <w:marBottom w:val="0"/>
      <w:divBdr>
        <w:top w:val="none" w:sz="0" w:space="0" w:color="auto"/>
        <w:left w:val="none" w:sz="0" w:space="0" w:color="auto"/>
        <w:bottom w:val="none" w:sz="0" w:space="0" w:color="auto"/>
        <w:right w:val="none" w:sz="0" w:space="0" w:color="auto"/>
      </w:divBdr>
    </w:div>
    <w:div w:id="1242641056">
      <w:bodyDiv w:val="1"/>
      <w:marLeft w:val="0"/>
      <w:marRight w:val="0"/>
      <w:marTop w:val="0"/>
      <w:marBottom w:val="0"/>
      <w:divBdr>
        <w:top w:val="none" w:sz="0" w:space="0" w:color="auto"/>
        <w:left w:val="none" w:sz="0" w:space="0" w:color="auto"/>
        <w:bottom w:val="none" w:sz="0" w:space="0" w:color="auto"/>
        <w:right w:val="none" w:sz="0" w:space="0" w:color="auto"/>
      </w:divBdr>
    </w:div>
    <w:div w:id="1274946648">
      <w:bodyDiv w:val="1"/>
      <w:marLeft w:val="0"/>
      <w:marRight w:val="0"/>
      <w:marTop w:val="0"/>
      <w:marBottom w:val="0"/>
      <w:divBdr>
        <w:top w:val="none" w:sz="0" w:space="0" w:color="auto"/>
        <w:left w:val="none" w:sz="0" w:space="0" w:color="auto"/>
        <w:bottom w:val="none" w:sz="0" w:space="0" w:color="auto"/>
        <w:right w:val="none" w:sz="0" w:space="0" w:color="auto"/>
      </w:divBdr>
    </w:div>
    <w:div w:id="1451437823">
      <w:bodyDiv w:val="1"/>
      <w:marLeft w:val="0"/>
      <w:marRight w:val="0"/>
      <w:marTop w:val="0"/>
      <w:marBottom w:val="0"/>
      <w:divBdr>
        <w:top w:val="none" w:sz="0" w:space="0" w:color="auto"/>
        <w:left w:val="none" w:sz="0" w:space="0" w:color="auto"/>
        <w:bottom w:val="none" w:sz="0" w:space="0" w:color="auto"/>
        <w:right w:val="none" w:sz="0" w:space="0" w:color="auto"/>
      </w:divBdr>
    </w:div>
    <w:div w:id="1559322345">
      <w:bodyDiv w:val="1"/>
      <w:marLeft w:val="0"/>
      <w:marRight w:val="0"/>
      <w:marTop w:val="0"/>
      <w:marBottom w:val="0"/>
      <w:divBdr>
        <w:top w:val="none" w:sz="0" w:space="0" w:color="auto"/>
        <w:left w:val="none" w:sz="0" w:space="0" w:color="auto"/>
        <w:bottom w:val="none" w:sz="0" w:space="0" w:color="auto"/>
        <w:right w:val="none" w:sz="0" w:space="0" w:color="auto"/>
      </w:divBdr>
    </w:div>
    <w:div w:id="1733575685">
      <w:bodyDiv w:val="1"/>
      <w:marLeft w:val="0"/>
      <w:marRight w:val="0"/>
      <w:marTop w:val="0"/>
      <w:marBottom w:val="0"/>
      <w:divBdr>
        <w:top w:val="none" w:sz="0" w:space="0" w:color="auto"/>
        <w:left w:val="none" w:sz="0" w:space="0" w:color="auto"/>
        <w:bottom w:val="none" w:sz="0" w:space="0" w:color="auto"/>
        <w:right w:val="none" w:sz="0" w:space="0" w:color="auto"/>
      </w:divBdr>
    </w:div>
    <w:div w:id="1776441607">
      <w:bodyDiv w:val="1"/>
      <w:marLeft w:val="0"/>
      <w:marRight w:val="0"/>
      <w:marTop w:val="0"/>
      <w:marBottom w:val="0"/>
      <w:divBdr>
        <w:top w:val="none" w:sz="0" w:space="0" w:color="auto"/>
        <w:left w:val="none" w:sz="0" w:space="0" w:color="auto"/>
        <w:bottom w:val="none" w:sz="0" w:space="0" w:color="auto"/>
        <w:right w:val="none" w:sz="0" w:space="0" w:color="auto"/>
      </w:divBdr>
    </w:div>
    <w:div w:id="19540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igas.gouv.fr/linnovation-en-sante-au-travail" TargetMode="External"/><Relationship Id="rId18" Type="http://schemas.openxmlformats.org/officeDocument/2006/relationships/hyperlink" Target="https://travail-emploi.gouv.fr/lactivite-des-services-de-prevention-et-de-sante-au-travail-en-202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ogip.fr/statistiques-des-accidents-du-travail-une-etude-nouvelle-deurogip-fait-le-point-sur-la-comparabilite-entre-les-pays/" TargetMode="External"/><Relationship Id="rId17" Type="http://schemas.openxmlformats.org/officeDocument/2006/relationships/hyperlink" Target="https://www.irsst.qc.ca/actualites/id/3426/sante-et-travail-en-2040-anticiper-les-transformations-qui-faconneront-la-sst" TargetMode="External"/><Relationship Id="rId2" Type="http://schemas.openxmlformats.org/officeDocument/2006/relationships/numbering" Target="numbering.xml"/><Relationship Id="rId16" Type="http://schemas.openxmlformats.org/officeDocument/2006/relationships/hyperlink" Target="https://www.inrs.fr/actualites/mesurage-exposition-radon.html" TargetMode="External"/><Relationship Id="rId20" Type="http://schemas.openxmlformats.org/officeDocument/2006/relationships/hyperlink" Target="https://eurogip.fr/commission-europeenne-point-sur-la-nouvelle-recommandation-relative-aux-maladies-professionnel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psydutravail.fr/ecouter-ici/" TargetMode="External"/><Relationship Id="rId5" Type="http://schemas.openxmlformats.org/officeDocument/2006/relationships/webSettings" Target="webSettings.xml"/><Relationship Id="rId15" Type="http://schemas.openxmlformats.org/officeDocument/2006/relationships/hyperlink" Target="https://www.inrs.fr/header/presse/cp-PFAS-au-travail.html" TargetMode="External"/><Relationship Id="rId23" Type="http://schemas.openxmlformats.org/officeDocument/2006/relationships/theme" Target="theme/theme1.xml"/><Relationship Id="rId10" Type="http://schemas.openxmlformats.org/officeDocument/2006/relationships/hyperlink" Target="https://eurogip.fr/france-point-sur-la-sinistralite-en-2024/" TargetMode="External"/><Relationship Id="rId19" Type="http://schemas.openxmlformats.org/officeDocument/2006/relationships/hyperlink" Target="https://www.entreprises.gouv.fr/la-dge/publications/electrification-du-transport-routier-synthese-des-travaux-sur-les-enjeux-de" TargetMode="External"/><Relationship Id="rId4" Type="http://schemas.openxmlformats.org/officeDocument/2006/relationships/settings" Target="settings.xml"/><Relationship Id="rId9" Type="http://schemas.openxmlformats.org/officeDocument/2006/relationships/hyperlink" Target="https://eurogip.fr/nouvelle-etude-eurogip-dresse-un-etat-des-lieux-de-la-prevention-des-rps-en-europe-et-a-linternational/" TargetMode="External"/><Relationship Id="rId14" Type="http://schemas.openxmlformats.org/officeDocument/2006/relationships/hyperlink" Target="https://igas.gouv.fr/attractivite-des-metiers-de-lautonomie-pour-une-nouvelle-strategie-de-reduction-des-risques-professionn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INTEFP">
      <a:dk1>
        <a:sysClr val="windowText" lastClr="000000"/>
      </a:dk1>
      <a:lt1>
        <a:sysClr val="window" lastClr="FFFFFF"/>
      </a:lt1>
      <a:dk2>
        <a:srgbClr val="1F497D"/>
      </a:dk2>
      <a:lt2>
        <a:srgbClr val="EEECE1"/>
      </a:lt2>
      <a:accent1>
        <a:srgbClr val="0B7E9D"/>
      </a:accent1>
      <a:accent2>
        <a:srgbClr val="E94F35"/>
      </a:accent2>
      <a:accent3>
        <a:srgbClr val="3F3E3E"/>
      </a:accent3>
      <a:accent4>
        <a:srgbClr val="8064A2"/>
      </a:accent4>
      <a:accent5>
        <a:srgbClr val="4BACC6"/>
      </a:accent5>
      <a:accent6>
        <a:srgbClr val="F79646"/>
      </a:accent6>
      <a:hlink>
        <a:srgbClr val="0000FF"/>
      </a:hlink>
      <a:folHlink>
        <a:srgbClr val="800080"/>
      </a:folHlink>
    </a:clrScheme>
    <a:fontScheme name="Intefp">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0C64-FDF9-4DAB-B537-9F4D5EF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1311</Words>
  <Characters>8654</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SCIALOM, Ornella (INTEFP)</dc:creator>
  <cp:keywords/>
  <dc:description/>
  <cp:lastModifiedBy>LEGER, Stephanie (INTEFP)</cp:lastModifiedBy>
  <cp:revision>6</cp:revision>
  <dcterms:created xsi:type="dcterms:W3CDTF">2026-03-30T07:07:00Z</dcterms:created>
  <dcterms:modified xsi:type="dcterms:W3CDTF">2026-03-30T07:11:00Z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2025-10-13T11:08:51Z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14678f0d-4f23-4b32-b13c-1bdc0180e162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