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A3D87" w14:textId="77777777" w:rsidR="00754CD3" w:rsidRDefault="00754CD3" w:rsidP="00742F0C">
      <w:pPr>
        <w:jc w:val="center"/>
        <w:rPr>
          <w:noProof/>
        </w:rPr>
      </w:pPr>
    </w:p>
    <w:p w14:paraId="6C57D35C" w14:textId="50571446" w:rsidR="00742F0C" w:rsidRPr="00A96E1B" w:rsidRDefault="00742F0C" w:rsidP="00742F0C">
      <w:pPr>
        <w:jc w:val="center"/>
        <w:rPr>
          <w:color w:val="CB5039"/>
        </w:rPr>
      </w:pPr>
      <w:r>
        <w:rPr>
          <w:noProof/>
        </w:rPr>
        <w:drawing>
          <wp:inline distT="0" distB="0" distL="0" distR="0" wp14:anchorId="37B19A25" wp14:editId="461B7ABA">
            <wp:extent cx="6022081" cy="988541"/>
            <wp:effectExtent l="0" t="0" r="0" b="2540"/>
            <wp:docPr id="48103680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036802" name="Image 48103680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42791" cy="991941"/>
                    </a:xfrm>
                    <a:prstGeom prst="rect">
                      <a:avLst/>
                    </a:prstGeom>
                  </pic:spPr>
                </pic:pic>
              </a:graphicData>
            </a:graphic>
          </wp:inline>
        </w:drawing>
      </w:r>
    </w:p>
    <w:p w14:paraId="3FBF4C37" w14:textId="3827BE90" w:rsidR="00FF3345" w:rsidRDefault="00FF3345"/>
    <w:p w14:paraId="1608C80E" w14:textId="636E6F00" w:rsidR="00FF3345" w:rsidRDefault="00601161" w:rsidP="00742F0C">
      <w:pPr>
        <w:pStyle w:val="Titre1"/>
      </w:pPr>
      <w:r>
        <w:t>Actual’ISST</w:t>
      </w:r>
    </w:p>
    <w:p w14:paraId="1C3386A2" w14:textId="0B6FD778" w:rsidR="00FF3345" w:rsidRDefault="00601161" w:rsidP="00742F0C">
      <w:pPr>
        <w:pStyle w:val="Sous-titre"/>
      </w:pPr>
      <w:r>
        <w:t>N°</w:t>
      </w:r>
      <w:r w:rsidR="00C8718A">
        <w:t>2</w:t>
      </w:r>
      <w:r>
        <w:t xml:space="preserve">, </w:t>
      </w:r>
      <w:r w:rsidR="00C8718A">
        <w:t>Novembre</w:t>
      </w:r>
      <w:r w:rsidR="00CE258C">
        <w:t>-Décembre</w:t>
      </w:r>
      <w:r>
        <w:t xml:space="preserve"> 2025</w:t>
      </w:r>
    </w:p>
    <w:p w14:paraId="04E1EFAF" w14:textId="77777777" w:rsidR="00FF3345" w:rsidRDefault="00FF3345"/>
    <w:p w14:paraId="6CACC633" w14:textId="4E4FD3DC" w:rsidR="00FF3345" w:rsidRDefault="00A96E1B" w:rsidP="001F24E3">
      <w:pPr>
        <w:pStyle w:val="Chap"/>
        <w:rPr>
          <w:b/>
          <w:bCs/>
          <w:color w:val="000000" w:themeColor="text1"/>
        </w:rPr>
      </w:pPr>
      <w:r w:rsidRPr="00810876">
        <w:rPr>
          <w:b/>
          <w:bCs/>
          <w:color w:val="000000" w:themeColor="text1"/>
        </w:rPr>
        <w:t>Le bulletin de veille de l’INTEFP sur la p</w:t>
      </w:r>
      <w:r w:rsidR="00601161" w:rsidRPr="00810876">
        <w:rPr>
          <w:b/>
          <w:bCs/>
          <w:color w:val="000000" w:themeColor="text1"/>
        </w:rPr>
        <w:t>révention, santé et sécurité au travail dans la Fonction Publique d’Etat</w:t>
      </w:r>
    </w:p>
    <w:p w14:paraId="684AA979" w14:textId="77777777" w:rsidR="001F24E3" w:rsidRDefault="001F24E3" w:rsidP="001F24E3">
      <w:pPr>
        <w:pStyle w:val="Chap"/>
        <w:rPr>
          <w:b/>
          <w:bCs/>
          <w:color w:val="000000" w:themeColor="text1"/>
        </w:rPr>
      </w:pPr>
    </w:p>
    <w:p w14:paraId="62BCADFC" w14:textId="77777777" w:rsidR="00810876" w:rsidRPr="00810876" w:rsidRDefault="00810876" w:rsidP="001F24E3">
      <w:pPr>
        <w:pStyle w:val="Chap"/>
        <w:rPr>
          <w:b/>
          <w:bCs/>
          <w:color w:val="000000" w:themeColor="text1"/>
        </w:rPr>
      </w:pPr>
    </w:p>
    <w:p w14:paraId="5F6D1FCF" w14:textId="075C10EF" w:rsidR="00810876" w:rsidRDefault="00810876" w:rsidP="001F24E3">
      <w:pPr>
        <w:rPr>
          <w:b/>
          <w:bCs/>
          <w:color w:val="CB5039"/>
        </w:rPr>
      </w:pPr>
      <w:r w:rsidRPr="00810876">
        <w:rPr>
          <w:b/>
          <w:bCs/>
          <w:color w:val="CB5039"/>
        </w:rPr>
        <w:t xml:space="preserve">SANTE </w:t>
      </w:r>
      <w:r w:rsidR="00E03118">
        <w:rPr>
          <w:b/>
          <w:bCs/>
          <w:color w:val="CB5039"/>
        </w:rPr>
        <w:t>SECURITE AU TRAVAIL</w:t>
      </w:r>
    </w:p>
    <w:p w14:paraId="2C2E28F1" w14:textId="77777777" w:rsidR="001F24E3" w:rsidRPr="00810876" w:rsidRDefault="001F24E3" w:rsidP="001F24E3">
      <w:pPr>
        <w:rPr>
          <w:b/>
          <w:bCs/>
          <w:color w:val="CB5039"/>
        </w:rPr>
      </w:pPr>
    </w:p>
    <w:p w14:paraId="55253B2C" w14:textId="77777777" w:rsidR="00CE258C" w:rsidRPr="00CE258C" w:rsidRDefault="00CE258C" w:rsidP="00CE258C">
      <w:pPr>
        <w:numPr>
          <w:ilvl w:val="0"/>
          <w:numId w:val="8"/>
        </w:numPr>
        <w:spacing w:line="278" w:lineRule="auto"/>
        <w:rPr>
          <w:b/>
          <w:bCs/>
        </w:rPr>
      </w:pPr>
      <w:r w:rsidRPr="00CE258C">
        <w:rPr>
          <w:b/>
          <w:bCs/>
        </w:rPr>
        <w:t>Rapport annuel 2024 de l'Assurance Maladie et des Risques professionnels</w:t>
      </w:r>
    </w:p>
    <w:p w14:paraId="105BEA6B" w14:textId="77777777" w:rsidR="00CE258C" w:rsidRPr="00CE258C" w:rsidRDefault="00CE258C" w:rsidP="00CE258C">
      <w:pPr>
        <w:spacing w:line="278" w:lineRule="auto"/>
        <w:rPr>
          <w:b/>
          <w:bCs/>
        </w:rPr>
      </w:pPr>
      <w:r w:rsidRPr="00CE258C">
        <w:rPr>
          <w:b/>
          <w:bCs/>
        </w:rPr>
        <w:t>Assurance maladie, 18/11/2025 </w:t>
      </w:r>
      <w:r w:rsidRPr="00CE258C">
        <w:t xml:space="preserve">: </w:t>
      </w:r>
      <w:hyperlink r:id="rId9" w:history="1">
        <w:r w:rsidRPr="00CE258C">
          <w:rPr>
            <w:rStyle w:val="Lienhypertexte"/>
          </w:rPr>
          <w:t>https://www.assurance-maladie.ameli.fr/etudes-et-donnees/2024-rapport-annuel-assurance-maladie-risques-professionnels</w:t>
        </w:r>
      </w:hyperlink>
    </w:p>
    <w:p w14:paraId="313CBFC6" w14:textId="77777777" w:rsidR="00CE258C" w:rsidRPr="00CE258C" w:rsidRDefault="00CE258C" w:rsidP="00CE258C">
      <w:r w:rsidRPr="00CE258C">
        <w:t>Ce rapport annuel présente les chiffres de la sinistralité pour les risques accidents du travail, accidents de trajet et maladies professionnelles, ainsi que les éléments d’équilibre financier de la branche et les prestations versées pour l'année 2024.</w:t>
      </w:r>
    </w:p>
    <w:p w14:paraId="0295CB8D" w14:textId="77777777" w:rsidR="00CE258C" w:rsidRPr="00CE258C" w:rsidRDefault="00CE258C" w:rsidP="00CE258C">
      <w:r w:rsidRPr="00CE258C">
        <w:t>Présentation</w:t>
      </w:r>
    </w:p>
    <w:p w14:paraId="47AE91AD" w14:textId="77777777" w:rsidR="00CE258C" w:rsidRPr="00CE258C" w:rsidRDefault="00CE258C" w:rsidP="00CE258C">
      <w:r w:rsidRPr="00CE258C">
        <w:t xml:space="preserve">L’année 2024 est la première année de la nouvelle convention d’objectifs et de gestion accidents du travail et maladies professionnelles (COG AT/MP) 2023-2028, signée en juillet 2024. En 2024, la branche AT/MP de l’Assurance Maladie couvre près de 20,8 millions de salariés du régime général et un peu plus de 2,5 millions de sections d’établissement cotisantes. Les données de sinistralité de l’année 2024 font apparaître en nombre de sinistres réglés avec arrêt et/ou incapacité permanente (IP) : </w:t>
      </w:r>
    </w:p>
    <w:p w14:paraId="0F176F32" w14:textId="77777777" w:rsidR="00CE258C" w:rsidRPr="00CE258C" w:rsidRDefault="00CE258C" w:rsidP="00CE258C">
      <w:pPr>
        <w:numPr>
          <w:ilvl w:val="0"/>
          <w:numId w:val="9"/>
        </w:numPr>
        <w:spacing w:after="160"/>
      </w:pPr>
      <w:r w:rsidRPr="00CE258C">
        <w:t>pour les accidents du travail : une diminution de 1,1 % avec un indice de fréquence (IF) égal à 26,4 pour 1 000 salariés ;</w:t>
      </w:r>
    </w:p>
    <w:p w14:paraId="11119760" w14:textId="77777777" w:rsidR="00CE258C" w:rsidRPr="00CE258C" w:rsidRDefault="00CE258C" w:rsidP="00CE258C">
      <w:pPr>
        <w:numPr>
          <w:ilvl w:val="0"/>
          <w:numId w:val="9"/>
        </w:numPr>
        <w:spacing w:after="160"/>
      </w:pPr>
      <w:r w:rsidRPr="00CE258C">
        <w:t>pour les accidents de trajet : une légère progression de 0,7 % ;</w:t>
      </w:r>
    </w:p>
    <w:p w14:paraId="6AE8F8EB" w14:textId="77777777" w:rsidR="00CE258C" w:rsidRPr="00CE258C" w:rsidRDefault="00CE258C" w:rsidP="00CE258C">
      <w:pPr>
        <w:numPr>
          <w:ilvl w:val="0"/>
          <w:numId w:val="9"/>
        </w:numPr>
        <w:spacing w:after="160"/>
      </w:pPr>
      <w:r w:rsidRPr="00CE258C">
        <w:t>et pour les maladies professionnelles, une poursuite de l’augmentation de 6,7 %, notamment des troubles musculosquelettiques (+ 6,6 %), qui représentent près de 90 % des MP, des pathologies liées à l’amiante (+ 8,5 %) et des MP hors tableau, en particulier les affections psychiques (+ 9 %).</w:t>
      </w:r>
    </w:p>
    <w:p w14:paraId="06A22E4F" w14:textId="77777777" w:rsidR="00CE258C" w:rsidRPr="00CE258C" w:rsidRDefault="00CE258C" w:rsidP="00CE258C">
      <w:pPr>
        <w:spacing w:after="160" w:line="278" w:lineRule="auto"/>
        <w:rPr>
          <w:b/>
          <w:bCs/>
        </w:rPr>
      </w:pPr>
    </w:p>
    <w:p w14:paraId="16D74593" w14:textId="77777777" w:rsidR="00CE258C" w:rsidRPr="00CE258C" w:rsidRDefault="00CE258C" w:rsidP="00CE258C">
      <w:pPr>
        <w:numPr>
          <w:ilvl w:val="0"/>
          <w:numId w:val="8"/>
        </w:numPr>
        <w:rPr>
          <w:b/>
          <w:bCs/>
        </w:rPr>
      </w:pPr>
      <w:r w:rsidRPr="00CE258C">
        <w:rPr>
          <w:b/>
          <w:bCs/>
        </w:rPr>
        <w:t>Safe Place - Face aux violences faites aux femmes, l’ANDRH renforce son action dans les entreprises</w:t>
      </w:r>
    </w:p>
    <w:p w14:paraId="5B94C6B5" w14:textId="77777777" w:rsidR="00CE258C" w:rsidRPr="00CE258C" w:rsidRDefault="00CE258C" w:rsidP="00CE258C">
      <w:r w:rsidRPr="00CE258C">
        <w:rPr>
          <w:b/>
          <w:bCs/>
        </w:rPr>
        <w:t>ANDRH, 25/11/2025 :</w:t>
      </w:r>
      <w:r w:rsidRPr="00CE258C">
        <w:t xml:space="preserve"> </w:t>
      </w:r>
      <w:hyperlink r:id="rId10" w:history="1">
        <w:r w:rsidRPr="00CE258C">
          <w:rPr>
            <w:rStyle w:val="Lienhypertexte"/>
          </w:rPr>
          <w:t>https://www.andrh.fr/presse/communique/safe-place-face-aux-violences-faites-aux-femmes-landrh-renforce-son-action-dans-les-entreprises</w:t>
        </w:r>
      </w:hyperlink>
    </w:p>
    <w:p w14:paraId="7597F155" w14:textId="77777777" w:rsidR="00CE258C" w:rsidRPr="00CE258C" w:rsidRDefault="00CE258C" w:rsidP="00CE258C">
      <w:r w:rsidRPr="00CE258C">
        <w:t>Les violences faites aux femmes ne s’interrompent pas lorsqu’on franchit les portes de l’entreprise. Alors que 1 femme sur 5 vivra une relation violente au cours de sa vie et que 62 % des victimes ayant porté plainte sont salariées, l’ANDRH rappelle que le monde du travail peut devenir un espace déterminant pour repérer, orienter et protéger.</w:t>
      </w:r>
    </w:p>
    <w:p w14:paraId="61123314" w14:textId="77777777" w:rsidR="00CE258C" w:rsidRPr="00CE258C" w:rsidRDefault="00CE258C" w:rsidP="00CE258C">
      <w:r w:rsidRPr="00CE258C">
        <w:t>À l’occasion du 25 novembre, l’ANDRH publie un premier bilan du dispositif Safe Place, lancé en juin 2025 pour fournir aux DRH, managers et employeurs des leviers simples, opérationnels et immédiatement mobilisables.</w:t>
      </w:r>
    </w:p>
    <w:p w14:paraId="123E6102" w14:textId="77777777" w:rsidR="00CE258C" w:rsidRPr="00CE258C" w:rsidRDefault="00CE258C" w:rsidP="00CE258C">
      <w:pPr>
        <w:rPr>
          <w:b/>
          <w:bCs/>
        </w:rPr>
      </w:pPr>
    </w:p>
    <w:p w14:paraId="7E1C3BED" w14:textId="77777777" w:rsidR="00CE258C" w:rsidRPr="00CE258C" w:rsidRDefault="00CE258C" w:rsidP="00CE258C">
      <w:pPr>
        <w:numPr>
          <w:ilvl w:val="0"/>
          <w:numId w:val="8"/>
        </w:numPr>
        <w:rPr>
          <w:b/>
          <w:bCs/>
        </w:rPr>
      </w:pPr>
      <w:r w:rsidRPr="00CE258C">
        <w:rPr>
          <w:b/>
          <w:bCs/>
        </w:rPr>
        <w:t xml:space="preserve">L’Urssaf affirme son engagement contre les violences conjugales et rejoint le réseau </w:t>
      </w:r>
      <w:proofErr w:type="spellStart"/>
      <w:r w:rsidRPr="00CE258C">
        <w:rPr>
          <w:b/>
          <w:bCs/>
        </w:rPr>
        <w:t>OneInThreeWomen</w:t>
      </w:r>
      <w:proofErr w:type="spellEnd"/>
    </w:p>
    <w:p w14:paraId="1C33E7C3" w14:textId="77777777" w:rsidR="00CE258C" w:rsidRPr="00CE258C" w:rsidRDefault="00CE258C" w:rsidP="00CE258C">
      <w:r w:rsidRPr="00CE258C">
        <w:rPr>
          <w:b/>
          <w:bCs/>
        </w:rPr>
        <w:t xml:space="preserve">Urssaf, 25/11/2025 : </w:t>
      </w:r>
      <w:hyperlink r:id="rId11" w:history="1">
        <w:r w:rsidRPr="00CE258C">
          <w:rPr>
            <w:rStyle w:val="Lienhypertexte"/>
          </w:rPr>
          <w:t>https://www.urssaf.org/accueil/espace-medias/communiques-et-dossiers-de-press/communiques-de-presse/2025/l-urssaf-affirme-son-engagement-.html</w:t>
        </w:r>
      </w:hyperlink>
    </w:p>
    <w:p w14:paraId="0E4EF6A4" w14:textId="77777777" w:rsidR="00CE258C" w:rsidRPr="00CE258C" w:rsidRDefault="00CE258C" w:rsidP="00CE258C">
      <w:r w:rsidRPr="00CE258C">
        <w:t xml:space="preserve">A l’occasion de la journée internationale pour l'élimination de la violence à l'égard des femmes, l’Urssaf annonce qu’elle rejoint le réseau </w:t>
      </w:r>
      <w:proofErr w:type="spellStart"/>
      <w:r w:rsidRPr="00CE258C">
        <w:t>OneInThreeWomen</w:t>
      </w:r>
      <w:proofErr w:type="spellEnd"/>
      <w:r w:rsidRPr="00CE258C">
        <w:t>, premier réseau européen d’entreprises engagées dans la lutte contre les violences conjugales co-fondé en 2018 par la Fondation FACE et la Fondation Kering. En signant la Charte d’Engagement contre les violences conjugales, l’Urssaf entend se mobiliser auprès des 68 entreprises déjà adhérentes et signataires, pour sensibiliser, prévenir et accompagner les salariées victimes de violences.</w:t>
      </w:r>
    </w:p>
    <w:p w14:paraId="06589A0B" w14:textId="77777777" w:rsidR="00CE258C" w:rsidRPr="00CE258C" w:rsidRDefault="00CE258C" w:rsidP="00CE258C">
      <w:pPr>
        <w:rPr>
          <w:b/>
          <w:bCs/>
        </w:rPr>
      </w:pPr>
    </w:p>
    <w:p w14:paraId="101A4EC6" w14:textId="77777777" w:rsidR="00CE258C" w:rsidRPr="00CE258C" w:rsidRDefault="00CE258C" w:rsidP="00CE258C">
      <w:pPr>
        <w:numPr>
          <w:ilvl w:val="0"/>
          <w:numId w:val="8"/>
        </w:numPr>
        <w:rPr>
          <w:b/>
          <w:bCs/>
        </w:rPr>
      </w:pPr>
      <w:r w:rsidRPr="00CE258C">
        <w:rPr>
          <w:b/>
          <w:bCs/>
        </w:rPr>
        <w:t>Suivi individuel de l'état de santé des travailleurs, conduite d'engins, risque électrique : le décret du 18 avril 2025</w:t>
      </w:r>
    </w:p>
    <w:p w14:paraId="5C4CACF0" w14:textId="77777777" w:rsidR="00CE258C" w:rsidRPr="00CE258C" w:rsidRDefault="00CE258C" w:rsidP="00CE258C">
      <w:pPr>
        <w:rPr>
          <w:b/>
          <w:bCs/>
        </w:rPr>
      </w:pPr>
      <w:r w:rsidRPr="00CE258C">
        <w:rPr>
          <w:b/>
          <w:bCs/>
        </w:rPr>
        <w:t>Ministère du travail, Questions-réponses, 04/11/2025 :</w:t>
      </w:r>
      <w:r w:rsidRPr="00CE258C">
        <w:t xml:space="preserve"> </w:t>
      </w:r>
      <w:hyperlink r:id="rId12" w:history="1">
        <w:r w:rsidRPr="00CE258C">
          <w:rPr>
            <w:rStyle w:val="Lienhypertexte"/>
          </w:rPr>
          <w:t>https://travail-emploi.gouv.fr/suivi-individuel-de-letat-de-sante-des-travailleurs-conduite-dengins-risque-electrique-le-decret-du-18-avril-2025</w:t>
        </w:r>
      </w:hyperlink>
    </w:p>
    <w:p w14:paraId="3BB67575" w14:textId="3AB2C6F8" w:rsidR="00810876" w:rsidRDefault="00CE258C" w:rsidP="00CE258C">
      <w:pPr>
        <w:rPr>
          <w:rFonts w:cs="Times New Roman"/>
          <w:szCs w:val="22"/>
        </w:rPr>
      </w:pPr>
      <w:r w:rsidRPr="00CE258C">
        <w:rPr>
          <w:rFonts w:cs="Times New Roman"/>
          <w:szCs w:val="22"/>
        </w:rPr>
        <w:t>Modalités de l'examen, attestation de non contre-indications médicales, aménagement du poste, portabilité... Cet article répond aux principales questions soulevées par le décret n° 2025-355 du 18 avril 2025 relatif au suivi individuel de l'état de santé des travailleurs ainsi qu'à l'autorisation de conduite et aux habilitations à effectuer certaines opérations prévues aux articles R. 4323-56 et R. 4544-9 du Code du trav</w:t>
      </w:r>
      <w:r w:rsidRPr="00CE258C">
        <w:rPr>
          <w:rFonts w:cs="Times New Roman"/>
          <w:szCs w:val="22"/>
        </w:rPr>
        <w:t>ail.</w:t>
      </w:r>
    </w:p>
    <w:p w14:paraId="3BE0D660" w14:textId="77777777" w:rsidR="00CE258C" w:rsidRDefault="00CE258C" w:rsidP="00CE258C">
      <w:pPr>
        <w:rPr>
          <w:rFonts w:cs="Times New Roman"/>
          <w:szCs w:val="22"/>
        </w:rPr>
      </w:pPr>
    </w:p>
    <w:p w14:paraId="28D1A34B" w14:textId="77777777" w:rsidR="00CE258C" w:rsidRDefault="00CE258C" w:rsidP="00CE258C">
      <w:pPr>
        <w:rPr>
          <w:rFonts w:cs="Times New Roman"/>
          <w:szCs w:val="22"/>
        </w:rPr>
      </w:pPr>
    </w:p>
    <w:p w14:paraId="7483BB29" w14:textId="77777777" w:rsidR="00CE258C" w:rsidRDefault="00CE258C" w:rsidP="00CE258C">
      <w:pPr>
        <w:rPr>
          <w:rFonts w:cs="Times New Roman"/>
          <w:szCs w:val="22"/>
        </w:rPr>
      </w:pPr>
    </w:p>
    <w:p w14:paraId="0B41C659" w14:textId="77777777" w:rsidR="00CE258C" w:rsidRDefault="00CE258C" w:rsidP="00CE258C">
      <w:pPr>
        <w:rPr>
          <w:rFonts w:cs="Times New Roman"/>
          <w:szCs w:val="22"/>
        </w:rPr>
      </w:pPr>
    </w:p>
    <w:p w14:paraId="7198888F" w14:textId="77777777" w:rsidR="00CE258C" w:rsidRDefault="00CE258C" w:rsidP="00CE258C">
      <w:pPr>
        <w:rPr>
          <w:rFonts w:cs="Times New Roman"/>
          <w:szCs w:val="22"/>
        </w:rPr>
      </w:pPr>
    </w:p>
    <w:p w14:paraId="53CF190F" w14:textId="77777777" w:rsidR="00CE258C" w:rsidRPr="00CE258C" w:rsidRDefault="00CE258C" w:rsidP="00CE258C">
      <w:pPr>
        <w:rPr>
          <w:rFonts w:cs="Times New Roman"/>
          <w:szCs w:val="22"/>
        </w:rPr>
      </w:pPr>
    </w:p>
    <w:p w14:paraId="53EF5D69" w14:textId="77777777" w:rsidR="00CE258C" w:rsidRPr="00CE258C" w:rsidRDefault="00CE258C" w:rsidP="00CE258C">
      <w:pPr>
        <w:numPr>
          <w:ilvl w:val="0"/>
          <w:numId w:val="10"/>
        </w:numPr>
      </w:pPr>
      <w:r w:rsidRPr="00CE258C">
        <w:rPr>
          <w:b/>
          <w:bCs/>
        </w:rPr>
        <w:t>Santé-sécurité au travail : 15 décisions marquantes de la Cour de cassation</w:t>
      </w:r>
    </w:p>
    <w:p w14:paraId="20DF7550" w14:textId="77777777" w:rsidR="00CE258C" w:rsidRPr="00CE258C" w:rsidRDefault="00CE258C" w:rsidP="00CE258C">
      <w:r w:rsidRPr="00CE258C">
        <w:rPr>
          <w:b/>
          <w:bCs/>
        </w:rPr>
        <w:t>Editions Tissot, 03/09/2025</w:t>
      </w:r>
      <w:r w:rsidRPr="00CE258C">
        <w:t xml:space="preserve"> : </w:t>
      </w:r>
      <w:hyperlink r:id="rId13" w:history="1">
        <w:r w:rsidRPr="00CE258C">
          <w:rPr>
            <w:rStyle w:val="Lienhypertexte"/>
          </w:rPr>
          <w:t>https://www.editions-tissot.fr/actualite/sante-securite/telechargement/sante-securite-au-travail-15-decisions-marquantes-de-la-cour-de-cassation-1e-semestre-2025</w:t>
        </w:r>
      </w:hyperlink>
    </w:p>
    <w:p w14:paraId="37A454AE" w14:textId="77777777" w:rsidR="00CE258C" w:rsidRPr="00CE258C" w:rsidRDefault="00CE258C" w:rsidP="00CE258C">
      <w:r w:rsidRPr="00CE258C">
        <w:t>La santé et la sécurité au travail évoluent constamment, et les jugements de la Cour de cassation façonnent directement vos obligations. Dans ce dossier, les Editions Tissot décrypte 15 décisions clés rendues dans le domaine de la santé-sécurité au travail au cours du premier semestre de l’année 2025.</w:t>
      </w:r>
    </w:p>
    <w:p w14:paraId="36517027" w14:textId="77777777" w:rsidR="00CE258C" w:rsidRPr="00CE258C" w:rsidRDefault="00CE258C" w:rsidP="00CE258C"/>
    <w:p w14:paraId="6D4852F2" w14:textId="77777777" w:rsidR="00CE258C" w:rsidRPr="00CE258C" w:rsidRDefault="00CE258C" w:rsidP="00CE258C">
      <w:pPr>
        <w:numPr>
          <w:ilvl w:val="0"/>
          <w:numId w:val="11"/>
        </w:numPr>
        <w:rPr>
          <w:b/>
          <w:bCs/>
        </w:rPr>
      </w:pPr>
      <w:r w:rsidRPr="00CE258C">
        <w:rPr>
          <w:b/>
          <w:bCs/>
        </w:rPr>
        <w:t>Prévention des risques professionnels : vers une meilleure prise en compte des différences entre femmes et hommes ?</w:t>
      </w:r>
    </w:p>
    <w:p w14:paraId="0AA2F266" w14:textId="77777777" w:rsidR="00CE258C" w:rsidRPr="00CE258C" w:rsidRDefault="00CE258C" w:rsidP="00CE258C">
      <w:r w:rsidRPr="00CE258C">
        <w:rPr>
          <w:b/>
          <w:bCs/>
        </w:rPr>
        <w:t>Revue Hygiène et sécurité au travail, INRS, n°280, 11/2025</w:t>
      </w:r>
      <w:r w:rsidRPr="00CE258C">
        <w:t xml:space="preserve"> : </w:t>
      </w:r>
      <w:hyperlink r:id="rId14" w:history="1">
        <w:r w:rsidRPr="00CE258C">
          <w:rPr>
            <w:rStyle w:val="Lienhypertexte"/>
          </w:rPr>
          <w:t>https://www.inrs.fr/publications/hst/dossier.html</w:t>
        </w:r>
      </w:hyperlink>
    </w:p>
    <w:p w14:paraId="2839D67F" w14:textId="77777777" w:rsidR="00CE258C" w:rsidRPr="00CE258C" w:rsidRDefault="00CE258C" w:rsidP="00CE258C">
      <w:r w:rsidRPr="00CE258C">
        <w:t>La réalité du travail des femmes et des hommes diffère en raison des métiers exercés, des secteurs d’activité investis et des activités de travail menées au sein d’un même secteur / métier, inégalement répartis. Les parcours professionnels dépendent aussi des activités hors travail et des attributions de rôles, déterminées socio-culturellement, avec pour conséquence des expositions différenciées aux facteurs de risque professionnels. Les caractéristiques physiques et physiologiques des femmes et des hommes conduisent également à des impacts différenciés de certains risques au travail sur leur santé. Les données de sinistralité contrastées entre hommes et femmes traduisent en partie la réalité de ces phénomènes. Ce dossier a pour objectif d’apporter un éclairage sur ces questions, à partir des connaissances les plus récentes issues de disciplines variées. Il fait un point sur les dispositifs réglementaires existants. Il traite de la prise en compte du sexe dans les études épidémiologiques. Il revient sur les principales différences liées au sexe biologique, concernant l’appareil locomoteur ou les fonctions cardiorespiratoires et thermorégulatrices. Le sexe est aussi considéré comme une variable essentielle à intégrer au moment de l'évaluation d’un danger et de la caractérisation de la toxicité des substances chimiques au travail.</w:t>
      </w:r>
    </w:p>
    <w:p w14:paraId="4DE69CC1" w14:textId="77777777" w:rsidR="00CE258C" w:rsidRPr="00CE258C" w:rsidRDefault="00CE258C" w:rsidP="00CE258C"/>
    <w:p w14:paraId="2318710E" w14:textId="77777777" w:rsidR="00CE258C" w:rsidRPr="00CE258C" w:rsidRDefault="00CE258C" w:rsidP="00CE258C">
      <w:pPr>
        <w:numPr>
          <w:ilvl w:val="0"/>
          <w:numId w:val="11"/>
        </w:numPr>
        <w:rPr>
          <w:b/>
          <w:bCs/>
        </w:rPr>
      </w:pPr>
      <w:r w:rsidRPr="00CE258C">
        <w:rPr>
          <w:b/>
          <w:bCs/>
        </w:rPr>
        <w:t>Tabagisme, vapotage et travail</w:t>
      </w:r>
    </w:p>
    <w:p w14:paraId="7BB5F0DC" w14:textId="77777777" w:rsidR="00CE258C" w:rsidRPr="00CE258C" w:rsidRDefault="00CE258C" w:rsidP="00CE258C">
      <w:r w:rsidRPr="00CE258C">
        <w:rPr>
          <w:b/>
          <w:bCs/>
        </w:rPr>
        <w:t>INRS, Références en santé au travail, 03/2024</w:t>
      </w:r>
      <w:r w:rsidRPr="00CE258C">
        <w:t xml:space="preserve"> : </w:t>
      </w:r>
      <w:hyperlink r:id="rId15" w:history="1">
        <w:r w:rsidRPr="00CE258C">
          <w:rPr>
            <w:rStyle w:val="Lienhypertexte"/>
          </w:rPr>
          <w:t>https://www.inrs.fr/media.html?refINRS=TC%20180</w:t>
        </w:r>
      </w:hyperlink>
    </w:p>
    <w:p w14:paraId="0DE632C4" w14:textId="77777777" w:rsidR="00CE258C" w:rsidRPr="00CE258C" w:rsidRDefault="00CE258C" w:rsidP="00CE258C">
      <w:r w:rsidRPr="00CE258C">
        <w:t>1/3 des travailleurs consomme des produits du tabac. Cette pratique addictive constitue un problème important en matière de santé mais aussi, dans certains cas, de sécurité. Cet article synthétise les connaissances actuelles sur le tabagisme et le vapotage. Il aborde le rôle que peut avoir le service de prévention et de SPST.</w:t>
      </w:r>
    </w:p>
    <w:p w14:paraId="53365302" w14:textId="77777777" w:rsidR="00CE258C" w:rsidRPr="00CE258C" w:rsidRDefault="00CE258C" w:rsidP="00CE258C"/>
    <w:p w14:paraId="661B4A57" w14:textId="77777777" w:rsidR="00CE258C" w:rsidRPr="00CE258C" w:rsidRDefault="00CE258C" w:rsidP="00CE258C">
      <w:pPr>
        <w:numPr>
          <w:ilvl w:val="0"/>
          <w:numId w:val="11"/>
        </w:numPr>
        <w:rPr>
          <w:b/>
          <w:bCs/>
        </w:rPr>
      </w:pPr>
      <w:r w:rsidRPr="00CE258C">
        <w:rPr>
          <w:b/>
          <w:bCs/>
        </w:rPr>
        <w:t>Enquête «Le pouls de la SST» sur les travailleurs</w:t>
      </w:r>
    </w:p>
    <w:p w14:paraId="3FFFEAE9" w14:textId="77777777" w:rsidR="00CE258C" w:rsidRPr="00CE258C" w:rsidRDefault="00CE258C" w:rsidP="00CE258C">
      <w:r w:rsidRPr="00CE258C">
        <w:rPr>
          <w:b/>
          <w:bCs/>
        </w:rPr>
        <w:t>EU-OSHA, 2025</w:t>
      </w:r>
      <w:r w:rsidRPr="00CE258C">
        <w:t xml:space="preserve"> : </w:t>
      </w:r>
      <w:hyperlink r:id="rId16" w:history="1">
        <w:r w:rsidRPr="00CE258C">
          <w:rPr>
            <w:rStyle w:val="Lienhypertexte"/>
          </w:rPr>
          <w:t>https://osha.europa.eu/fr/facts-and-figures/osh-pulse</w:t>
        </w:r>
      </w:hyperlink>
    </w:p>
    <w:p w14:paraId="57E3B76C" w14:textId="77777777" w:rsidR="00CE258C" w:rsidRPr="00CE258C" w:rsidRDefault="00CE258C" w:rsidP="00CE258C">
      <w:r w:rsidRPr="00CE258C">
        <w:t xml:space="preserve">Le pouls de la SST est une enquête périodique menée auprès d’un échantillon représentatif de plus de 28 000 travailleurs salariés dans l’ensemble de l’Union européenne et dans d’autres pays européens. Elle examine des aspects essentiels de la sécurité et de la santé au travail (SST), en mettant particulièrement l’accent sur les facteurs de stress pour la santé mentale et physique auxquels les travailleurs sont exposés ainsi que sur les mesures préventives mises en œuvre sur leur lieu de travail. </w:t>
      </w:r>
    </w:p>
    <w:p w14:paraId="56008EB6" w14:textId="77777777" w:rsidR="00CE258C" w:rsidRPr="00CE258C" w:rsidRDefault="00CE258C" w:rsidP="00CE258C"/>
    <w:p w14:paraId="6E6FCC35" w14:textId="77777777" w:rsidR="00CE258C" w:rsidRPr="00CE258C" w:rsidRDefault="00CE258C" w:rsidP="00CE258C">
      <w:pPr>
        <w:numPr>
          <w:ilvl w:val="0"/>
          <w:numId w:val="11"/>
        </w:numPr>
        <w:rPr>
          <w:b/>
          <w:bCs/>
        </w:rPr>
      </w:pPr>
      <w:r w:rsidRPr="00CE258C">
        <w:rPr>
          <w:b/>
          <w:bCs/>
        </w:rPr>
        <w:t>Après le Sénat le 13 février, l'adoption par l'Assemblée nationale du projet de loi autorisant la ratification de la Convention n°155 de l'OIT sur la sécurité et la santé des travailleurs</w:t>
      </w:r>
    </w:p>
    <w:p w14:paraId="51FA0344" w14:textId="77777777" w:rsidR="00CE258C" w:rsidRPr="00CE258C" w:rsidRDefault="00CE258C" w:rsidP="00CE258C">
      <w:r w:rsidRPr="00CE258C">
        <w:rPr>
          <w:b/>
          <w:bCs/>
        </w:rPr>
        <w:t>Ministère du travail, 21/10/2025</w:t>
      </w:r>
      <w:r w:rsidRPr="00CE258C">
        <w:t xml:space="preserve"> : </w:t>
      </w:r>
      <w:hyperlink r:id="rId17" w:history="1">
        <w:r w:rsidRPr="00CE258C">
          <w:rPr>
            <w:rStyle w:val="Lienhypertexte"/>
          </w:rPr>
          <w:t>https://travail-emploi.gouv.fr/un-engagement-historique-pour-la-protection-des-travailleurs-apres-le-senat-le-13-fevrier-ladoption-par-lassemblee-nationale-du-projet-de-loi-autorisant-la-ratification-de-la-convention-ndeg155-de-loit-sur-la-securite-et-la-sante-des-travailleurs</w:t>
        </w:r>
      </w:hyperlink>
      <w:r w:rsidRPr="00CE258C">
        <w:t xml:space="preserve"> Le</w:t>
      </w:r>
      <w:r w:rsidRPr="00CE258C">
        <w:rPr>
          <w:b/>
          <w:bCs/>
        </w:rPr>
        <w:t> vote à l’unanimité à l’Assemblée nationale</w:t>
      </w:r>
      <w:r w:rsidRPr="00CE258C">
        <w:t>, mercredi 15 octobre, du projet de loi autorisant la ratification de la </w:t>
      </w:r>
      <w:hyperlink r:id="rId18" w:tgtFrame="_blank" w:tooltip="convention n°155 de l’Organisation internationale du Travail sur la sécurité et la santé des travailleurs - nouvelle fenêtre" w:history="1">
        <w:r w:rsidRPr="00CE258C">
          <w:rPr>
            <w:rStyle w:val="Lienhypertexte"/>
          </w:rPr>
          <w:t>convention n°155 de l’Organisation internationale du Travail sur la sécurité et la santé des travailleurs</w:t>
        </w:r>
      </w:hyperlink>
      <w:r w:rsidRPr="00CE258C">
        <w:t> ouvre la voie à la ratification de cet instrument par le président de la République.</w:t>
      </w:r>
    </w:p>
    <w:p w14:paraId="7F5C24D6" w14:textId="77777777" w:rsidR="00CE258C" w:rsidRPr="00CE258C" w:rsidRDefault="00CE258C" w:rsidP="00CE258C"/>
    <w:p w14:paraId="0CFE1D7B" w14:textId="77777777" w:rsidR="00CE258C" w:rsidRPr="00CE258C" w:rsidRDefault="00CE258C" w:rsidP="00CE258C">
      <w:pPr>
        <w:numPr>
          <w:ilvl w:val="0"/>
          <w:numId w:val="11"/>
        </w:numPr>
        <w:rPr>
          <w:b/>
          <w:bCs/>
        </w:rPr>
      </w:pPr>
      <w:r w:rsidRPr="00CE258C">
        <w:rPr>
          <w:b/>
          <w:bCs/>
        </w:rPr>
        <w:t>Bilan 2024 des expositions professionnelles aux rayonnements ionisants en France</w:t>
      </w:r>
    </w:p>
    <w:p w14:paraId="0BBDB55A" w14:textId="77777777" w:rsidR="00CE258C" w:rsidRPr="00CE258C" w:rsidRDefault="00CE258C" w:rsidP="00CE258C">
      <w:r w:rsidRPr="00CE258C">
        <w:rPr>
          <w:b/>
          <w:bCs/>
        </w:rPr>
        <w:t>ASNR, 11/09/2025 :</w:t>
      </w:r>
      <w:r w:rsidRPr="00CE258C">
        <w:t xml:space="preserve"> </w:t>
      </w:r>
      <w:hyperlink r:id="rId19" w:history="1">
        <w:r w:rsidRPr="00CE258C">
          <w:rPr>
            <w:rStyle w:val="Lienhypertexte"/>
          </w:rPr>
          <w:t>https://www.asnr.fr/actualites/bilan-2024-des-expositions-professionnelles-aux-rayonnements-ionisants-en-france</w:t>
        </w:r>
      </w:hyperlink>
    </w:p>
    <w:p w14:paraId="2FB746A1" w14:textId="07E303FB" w:rsidR="008959BC" w:rsidRPr="002C4492" w:rsidRDefault="00CE258C" w:rsidP="00CE258C">
      <w:r w:rsidRPr="00CE258C">
        <w:t>L’Autorité de sûreté nucléaire et de radioprotection (ASNR) publie le bilan annuel 2024 de la surveillance des travailleurs exposés aux rayonnements ionisants en France, une mission réglementaire confiée à l’ASNR conformément aux dispositions de l'article R. 4451-134 du Code du travail. Le rapport présente les résultats de la surveillance dosimétrique individuelle (SDI)1 des travailleurs, couvrant à la fois leur exposition externe et leur exposition interne. Il met en évidence la méthode d’élaboration du bilan, qui a évolué en 2024, tout en poursuivant l’analyse des niveaux d’exposition professionnelle, comme dans les rapports précédents.</w:t>
      </w:r>
    </w:p>
    <w:sectPr w:rsidR="008959BC" w:rsidRPr="002C4492">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975E8" w14:textId="77777777" w:rsidR="00315635" w:rsidRDefault="00315635" w:rsidP="00FF3345">
      <w:r>
        <w:separator/>
      </w:r>
    </w:p>
  </w:endnote>
  <w:endnote w:type="continuationSeparator" w:id="0">
    <w:p w14:paraId="1DCB0DE9" w14:textId="77777777" w:rsidR="00315635" w:rsidRDefault="00315635" w:rsidP="00FF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C315C" w14:textId="77777777" w:rsidR="00315635" w:rsidRDefault="00315635" w:rsidP="00FF3345">
      <w:r>
        <w:separator/>
      </w:r>
    </w:p>
  </w:footnote>
  <w:footnote w:type="continuationSeparator" w:id="0">
    <w:p w14:paraId="05368F53" w14:textId="77777777" w:rsidR="00315635" w:rsidRDefault="00315635" w:rsidP="00FF3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9EA5" w14:textId="4ADFE898" w:rsidR="00754CD3" w:rsidRDefault="00754CD3" w:rsidP="00FF3345">
    <w:pPr>
      <w:pStyle w:val="En-tte"/>
      <w:jc w:val="right"/>
    </w:pPr>
    <w:r>
      <w:rPr>
        <w:noProof/>
      </w:rPr>
      <w:drawing>
        <wp:anchor distT="0" distB="0" distL="114300" distR="114300" simplePos="0" relativeHeight="251658240" behindDoc="0" locked="0" layoutInCell="1" allowOverlap="1" wp14:anchorId="290556EC" wp14:editId="173524BF">
          <wp:simplePos x="0" y="0"/>
          <wp:positionH relativeFrom="column">
            <wp:posOffset>4923859</wp:posOffset>
          </wp:positionH>
          <wp:positionV relativeFrom="paragraph">
            <wp:posOffset>-100657</wp:posOffset>
          </wp:positionV>
          <wp:extent cx="1567815" cy="706120"/>
          <wp:effectExtent l="0" t="0" r="0" b="0"/>
          <wp:wrapNone/>
          <wp:docPr id="7020114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011420" name="Image 702011420"/>
                  <pic:cNvPicPr/>
                </pic:nvPicPr>
                <pic:blipFill>
                  <a:blip r:embed="rId1">
                    <a:extLst>
                      <a:ext uri="{28A0092B-C50C-407E-A947-70E740481C1C}">
                        <a14:useLocalDpi xmlns:a14="http://schemas.microsoft.com/office/drawing/2010/main" val="0"/>
                      </a:ext>
                    </a:extLst>
                  </a:blip>
                  <a:stretch>
                    <a:fillRect/>
                  </a:stretch>
                </pic:blipFill>
                <pic:spPr>
                  <a:xfrm>
                    <a:off x="0" y="0"/>
                    <a:ext cx="1567815" cy="706120"/>
                  </a:xfrm>
                  <a:prstGeom prst="rect">
                    <a:avLst/>
                  </a:prstGeom>
                </pic:spPr>
              </pic:pic>
            </a:graphicData>
          </a:graphic>
        </wp:anchor>
      </w:drawing>
    </w:r>
  </w:p>
  <w:p w14:paraId="2058254C" w14:textId="77777777" w:rsidR="00754CD3" w:rsidRDefault="00754CD3" w:rsidP="00FF3345">
    <w:pPr>
      <w:pStyle w:val="En-tte"/>
      <w:jc w:val="right"/>
    </w:pPr>
  </w:p>
  <w:p w14:paraId="640BCB1E" w14:textId="77777777" w:rsidR="00754CD3" w:rsidRDefault="00754CD3" w:rsidP="00FF3345">
    <w:pPr>
      <w:pStyle w:val="En-tte"/>
      <w:jc w:val="right"/>
    </w:pPr>
  </w:p>
  <w:p w14:paraId="483DA511" w14:textId="4B099D2F" w:rsidR="00FF3345" w:rsidRDefault="00754CD3" w:rsidP="00FF3345">
    <w:pPr>
      <w:pStyle w:val="En-tte"/>
      <w:jc w:val="right"/>
    </w:pPr>
    <w:r>
      <w:rPr>
        <w:noProof/>
      </w:rPr>
      <w:drawing>
        <wp:inline distT="0" distB="0" distL="0" distR="0" wp14:anchorId="6CED5A57" wp14:editId="2E300C49">
          <wp:extent cx="6707423" cy="523240"/>
          <wp:effectExtent l="0" t="0" r="0" b="0"/>
          <wp:docPr id="146657015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570157" name="Image 1466570157"/>
                  <pic:cNvPicPr/>
                </pic:nvPicPr>
                <pic:blipFill rotWithShape="1">
                  <a:blip r:embed="rId2" cstate="print">
                    <a:extLst>
                      <a:ext uri="{28A0092B-C50C-407E-A947-70E740481C1C}">
                        <a14:useLocalDpi xmlns:a14="http://schemas.microsoft.com/office/drawing/2010/main" val="0"/>
                      </a:ext>
                    </a:extLst>
                  </a:blip>
                  <a:srcRect r="2903"/>
                  <a:stretch/>
                </pic:blipFill>
                <pic:spPr bwMode="auto">
                  <a:xfrm>
                    <a:off x="0" y="0"/>
                    <a:ext cx="7095565" cy="55351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77.75pt;height:77.75pt" o:bullet="t">
        <v:imagedata r:id="rId1" o:title="Laetitia_picto-illustrations-personnages-19"/>
      </v:shape>
    </w:pict>
  </w:numPicBullet>
  <w:numPicBullet w:numPicBulletId="1">
    <w:pict>
      <v:shape id="_x0000_i1055" type="#_x0000_t75" style="width:47.25pt;height:56.45pt" o:bullet="t">
        <v:imagedata r:id="rId2" o:title="clip_image001"/>
      </v:shape>
    </w:pict>
  </w:numPicBullet>
  <w:numPicBullet w:numPicBulletId="2">
    <w:pict>
      <v:shape id="_x0000_i1056" type="#_x0000_t75" style="width:11.5pt;height:11.5pt" o:bullet="t">
        <v:imagedata r:id="rId3" o:title="clip_image002"/>
      </v:shape>
    </w:pict>
  </w:numPicBullet>
  <w:abstractNum w:abstractNumId="0" w15:restartNumberingAfterBreak="0">
    <w:nsid w:val="0A4B15BB"/>
    <w:multiLevelType w:val="hybridMultilevel"/>
    <w:tmpl w:val="7D28E242"/>
    <w:lvl w:ilvl="0" w:tplc="B8CAA73E">
      <w:start w:val="1"/>
      <w:numFmt w:val="bullet"/>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5F90B68"/>
    <w:multiLevelType w:val="hybridMultilevel"/>
    <w:tmpl w:val="7A4ADF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6C608A"/>
    <w:multiLevelType w:val="hybridMultilevel"/>
    <w:tmpl w:val="A052D4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51E067C"/>
    <w:multiLevelType w:val="hybridMultilevel"/>
    <w:tmpl w:val="CEEE3132"/>
    <w:lvl w:ilvl="0" w:tplc="012A158C">
      <w:start w:val="1"/>
      <w:numFmt w:val="bullet"/>
      <w:pStyle w:val="Paragraphedeliste"/>
      <w:lvlText w:val=""/>
      <w:lvlPicBulletId w:val="0"/>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63D7701E"/>
    <w:multiLevelType w:val="multilevel"/>
    <w:tmpl w:val="F9909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730086"/>
    <w:multiLevelType w:val="hybridMultilevel"/>
    <w:tmpl w:val="E6B2FF8C"/>
    <w:lvl w:ilvl="0" w:tplc="B8CAA73E">
      <w:start w:val="1"/>
      <w:numFmt w:val="bullet"/>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77A67FA4"/>
    <w:multiLevelType w:val="hybridMultilevel"/>
    <w:tmpl w:val="A5F40D9E"/>
    <w:lvl w:ilvl="0" w:tplc="FAE6CFA8">
      <w:start w:val="1"/>
      <w:numFmt w:val="bullet"/>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7E0254AB"/>
    <w:multiLevelType w:val="hybridMultilevel"/>
    <w:tmpl w:val="89F273B6"/>
    <w:lvl w:ilvl="0" w:tplc="B8CAA73E">
      <w:start w:val="1"/>
      <w:numFmt w:val="bullet"/>
      <w:lvlText w:val=""/>
      <w:lvlPicBulletId w:val="1"/>
      <w:lvlJc w:val="left"/>
      <w:pPr>
        <w:ind w:left="720" w:hanging="360"/>
      </w:pPr>
      <w:rPr>
        <w:rFonts w:ascii="Symbol" w:hAnsi="Symbol" w:hint="default"/>
        <w:color w:val="auto"/>
      </w:rPr>
    </w:lvl>
    <w:lvl w:ilvl="1" w:tplc="040C0007">
      <w:start w:val="1"/>
      <w:numFmt w:val="bullet"/>
      <w:lvlText w:val=""/>
      <w:lvlPicBulletId w:val="2"/>
      <w:lvlJc w:val="left"/>
      <w:pPr>
        <w:ind w:left="1440" w:hanging="360"/>
      </w:pPr>
      <w:rPr>
        <w:rFonts w:ascii="Symbol" w:hAnsi="Symbol" w:hint="default"/>
      </w:rPr>
    </w:lvl>
    <w:lvl w:ilvl="2" w:tplc="040C0007">
      <w:start w:val="1"/>
      <w:numFmt w:val="bullet"/>
      <w:lvlText w:val=""/>
      <w:lvlPicBulletId w:val="2"/>
      <w:lvlJc w:val="left"/>
      <w:pPr>
        <w:ind w:left="1428" w:hanging="360"/>
      </w:pPr>
      <w:rPr>
        <w:rFonts w:ascii="Symbol" w:hAnsi="Symbol"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564072222">
    <w:abstractNumId w:val="3"/>
  </w:num>
  <w:num w:numId="2" w16cid:durableId="456722032">
    <w:abstractNumId w:val="1"/>
  </w:num>
  <w:num w:numId="3" w16cid:durableId="1305743075">
    <w:abstractNumId w:val="7"/>
  </w:num>
  <w:num w:numId="4" w16cid:durableId="1017345827">
    <w:abstractNumId w:val="0"/>
  </w:num>
  <w:num w:numId="5" w16cid:durableId="1252472965">
    <w:abstractNumId w:val="7"/>
  </w:num>
  <w:num w:numId="6" w16cid:durableId="591741375">
    <w:abstractNumId w:val="4"/>
  </w:num>
  <w:num w:numId="7" w16cid:durableId="1475486294">
    <w:abstractNumId w:val="5"/>
  </w:num>
  <w:num w:numId="8" w16cid:durableId="845822348">
    <w:abstractNumId w:val="0"/>
    <w:lvlOverride w:ilvl="0"/>
    <w:lvlOverride w:ilvl="1"/>
    <w:lvlOverride w:ilvl="2"/>
    <w:lvlOverride w:ilvl="3"/>
    <w:lvlOverride w:ilvl="4"/>
    <w:lvlOverride w:ilvl="5"/>
    <w:lvlOverride w:ilvl="6"/>
    <w:lvlOverride w:ilvl="7"/>
    <w:lvlOverride w:ilvl="8"/>
  </w:num>
  <w:num w:numId="9" w16cid:durableId="1614898404">
    <w:abstractNumId w:val="2"/>
    <w:lvlOverride w:ilvl="0"/>
    <w:lvlOverride w:ilvl="1"/>
    <w:lvlOverride w:ilvl="2"/>
    <w:lvlOverride w:ilvl="3"/>
    <w:lvlOverride w:ilvl="4"/>
    <w:lvlOverride w:ilvl="5"/>
    <w:lvlOverride w:ilvl="6"/>
    <w:lvlOverride w:ilvl="7"/>
    <w:lvlOverride w:ilvl="8"/>
  </w:num>
  <w:num w:numId="10" w16cid:durableId="661159405">
    <w:abstractNumId w:val="7"/>
    <w:lvlOverride w:ilvl="0"/>
    <w:lvlOverride w:ilvl="1"/>
    <w:lvlOverride w:ilvl="2"/>
    <w:lvlOverride w:ilvl="3"/>
    <w:lvlOverride w:ilvl="4"/>
    <w:lvlOverride w:ilvl="5"/>
    <w:lvlOverride w:ilvl="6"/>
    <w:lvlOverride w:ilvl="7"/>
    <w:lvlOverride w:ilvl="8"/>
  </w:num>
  <w:num w:numId="11" w16cid:durableId="364790764">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45"/>
    <w:rsid w:val="000546A5"/>
    <w:rsid w:val="0015055D"/>
    <w:rsid w:val="001F24E3"/>
    <w:rsid w:val="002C4492"/>
    <w:rsid w:val="00302D13"/>
    <w:rsid w:val="00315635"/>
    <w:rsid w:val="00333125"/>
    <w:rsid w:val="00441A4E"/>
    <w:rsid w:val="005A57EB"/>
    <w:rsid w:val="00600FFD"/>
    <w:rsid w:val="00601161"/>
    <w:rsid w:val="00742F0C"/>
    <w:rsid w:val="00754CD3"/>
    <w:rsid w:val="00780D70"/>
    <w:rsid w:val="00810876"/>
    <w:rsid w:val="008959BC"/>
    <w:rsid w:val="008D292A"/>
    <w:rsid w:val="00A64819"/>
    <w:rsid w:val="00A96E1B"/>
    <w:rsid w:val="00B520B2"/>
    <w:rsid w:val="00B608B2"/>
    <w:rsid w:val="00BB4EF0"/>
    <w:rsid w:val="00BF538A"/>
    <w:rsid w:val="00C472AF"/>
    <w:rsid w:val="00C8718A"/>
    <w:rsid w:val="00CE258C"/>
    <w:rsid w:val="00CF295F"/>
    <w:rsid w:val="00D039BD"/>
    <w:rsid w:val="00DF38E2"/>
    <w:rsid w:val="00E03118"/>
    <w:rsid w:val="00E049CD"/>
    <w:rsid w:val="00E535E5"/>
    <w:rsid w:val="00EE45C8"/>
    <w:rsid w:val="00EF1618"/>
    <w:rsid w:val="00FE0E23"/>
    <w:rsid w:val="00FF33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20C4BB7E"/>
  <w15:chartTrackingRefBased/>
  <w15:docId w15:val="{5C3ACDFC-A2D4-45A2-BB4D-3384AAB5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CD3"/>
    <w:rPr>
      <w:sz w:val="22"/>
    </w:rPr>
  </w:style>
  <w:style w:type="paragraph" w:styleId="Titre1">
    <w:name w:val="heading 1"/>
    <w:basedOn w:val="Normal"/>
    <w:next w:val="Normal"/>
    <w:link w:val="Titre1Car"/>
    <w:uiPriority w:val="9"/>
    <w:qFormat/>
    <w:rsid w:val="00754CD3"/>
    <w:pPr>
      <w:keepNext/>
      <w:keepLines/>
      <w:spacing w:before="360" w:after="80"/>
      <w:jc w:val="center"/>
      <w:outlineLvl w:val="0"/>
    </w:pPr>
    <w:rPr>
      <w:rFonts w:asciiTheme="majorHAnsi" w:eastAsiaTheme="majorEastAsia" w:hAnsiTheme="majorHAnsi" w:cstheme="majorBidi"/>
      <w:b/>
      <w:sz w:val="44"/>
      <w:szCs w:val="40"/>
    </w:rPr>
  </w:style>
  <w:style w:type="paragraph" w:styleId="Titre2">
    <w:name w:val="heading 2"/>
    <w:basedOn w:val="Normal"/>
    <w:next w:val="Normal"/>
    <w:link w:val="Titre2Car"/>
    <w:uiPriority w:val="9"/>
    <w:unhideWhenUsed/>
    <w:qFormat/>
    <w:rsid w:val="00754CD3"/>
    <w:pPr>
      <w:keepNext/>
      <w:keepLines/>
      <w:spacing w:before="160" w:after="80"/>
      <w:outlineLvl w:val="1"/>
    </w:pPr>
    <w:rPr>
      <w:rFonts w:asciiTheme="majorHAnsi" w:eastAsiaTheme="majorEastAsia" w:hAnsiTheme="majorHAnsi" w:cstheme="majorBidi"/>
      <w:b/>
      <w:color w:val="0B7E9D" w:themeColor="accent1"/>
      <w:sz w:val="28"/>
      <w:szCs w:val="32"/>
    </w:rPr>
  </w:style>
  <w:style w:type="paragraph" w:styleId="Titre3">
    <w:name w:val="heading 3"/>
    <w:basedOn w:val="Normal"/>
    <w:next w:val="Normal"/>
    <w:link w:val="Titre3Car"/>
    <w:uiPriority w:val="9"/>
    <w:semiHidden/>
    <w:unhideWhenUsed/>
    <w:qFormat/>
    <w:rsid w:val="00FF3345"/>
    <w:pPr>
      <w:keepNext/>
      <w:keepLines/>
      <w:spacing w:before="160" w:after="80"/>
      <w:outlineLvl w:val="2"/>
    </w:pPr>
    <w:rPr>
      <w:rFonts w:eastAsiaTheme="majorEastAsia" w:cstheme="majorBidi"/>
      <w:color w:val="085D75" w:themeColor="accent1" w:themeShade="BF"/>
      <w:sz w:val="28"/>
      <w:szCs w:val="28"/>
    </w:rPr>
  </w:style>
  <w:style w:type="paragraph" w:styleId="Titre4">
    <w:name w:val="heading 4"/>
    <w:basedOn w:val="Normal"/>
    <w:next w:val="Normal"/>
    <w:link w:val="Titre4Car"/>
    <w:uiPriority w:val="9"/>
    <w:semiHidden/>
    <w:unhideWhenUsed/>
    <w:qFormat/>
    <w:rsid w:val="00FF3345"/>
    <w:pPr>
      <w:keepNext/>
      <w:keepLines/>
      <w:spacing w:before="80" w:after="40"/>
      <w:outlineLvl w:val="3"/>
    </w:pPr>
    <w:rPr>
      <w:rFonts w:eastAsiaTheme="majorEastAsia" w:cstheme="majorBidi"/>
      <w:i/>
      <w:iCs/>
      <w:color w:val="085D75" w:themeColor="accent1" w:themeShade="BF"/>
    </w:rPr>
  </w:style>
  <w:style w:type="paragraph" w:styleId="Titre5">
    <w:name w:val="heading 5"/>
    <w:basedOn w:val="Normal"/>
    <w:next w:val="Normal"/>
    <w:link w:val="Titre5Car"/>
    <w:uiPriority w:val="9"/>
    <w:semiHidden/>
    <w:unhideWhenUsed/>
    <w:qFormat/>
    <w:rsid w:val="00FF3345"/>
    <w:pPr>
      <w:keepNext/>
      <w:keepLines/>
      <w:spacing w:before="80" w:after="40"/>
      <w:outlineLvl w:val="4"/>
    </w:pPr>
    <w:rPr>
      <w:rFonts w:eastAsiaTheme="majorEastAsia" w:cstheme="majorBidi"/>
      <w:color w:val="085D75" w:themeColor="accent1" w:themeShade="BF"/>
    </w:rPr>
  </w:style>
  <w:style w:type="paragraph" w:styleId="Titre6">
    <w:name w:val="heading 6"/>
    <w:basedOn w:val="Normal"/>
    <w:next w:val="Normal"/>
    <w:link w:val="Titre6Car"/>
    <w:uiPriority w:val="9"/>
    <w:semiHidden/>
    <w:unhideWhenUsed/>
    <w:qFormat/>
    <w:rsid w:val="00FF334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F334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F334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F3345"/>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4CD3"/>
    <w:rPr>
      <w:rFonts w:asciiTheme="majorHAnsi" w:eastAsiaTheme="majorEastAsia" w:hAnsiTheme="majorHAnsi" w:cstheme="majorBidi"/>
      <w:b/>
      <w:sz w:val="44"/>
      <w:szCs w:val="40"/>
    </w:rPr>
  </w:style>
  <w:style w:type="character" w:customStyle="1" w:styleId="Titre2Car">
    <w:name w:val="Titre 2 Car"/>
    <w:basedOn w:val="Policepardfaut"/>
    <w:link w:val="Titre2"/>
    <w:uiPriority w:val="9"/>
    <w:rsid w:val="00754CD3"/>
    <w:rPr>
      <w:rFonts w:asciiTheme="majorHAnsi" w:eastAsiaTheme="majorEastAsia" w:hAnsiTheme="majorHAnsi" w:cstheme="majorBidi"/>
      <w:b/>
      <w:color w:val="0B7E9D" w:themeColor="accent1"/>
      <w:sz w:val="28"/>
      <w:szCs w:val="32"/>
    </w:rPr>
  </w:style>
  <w:style w:type="character" w:customStyle="1" w:styleId="Titre3Car">
    <w:name w:val="Titre 3 Car"/>
    <w:basedOn w:val="Policepardfaut"/>
    <w:link w:val="Titre3"/>
    <w:uiPriority w:val="9"/>
    <w:semiHidden/>
    <w:rsid w:val="00FF3345"/>
    <w:rPr>
      <w:rFonts w:eastAsiaTheme="majorEastAsia" w:cstheme="majorBidi"/>
      <w:color w:val="085D75" w:themeColor="accent1" w:themeShade="BF"/>
      <w:sz w:val="28"/>
      <w:szCs w:val="28"/>
    </w:rPr>
  </w:style>
  <w:style w:type="character" w:customStyle="1" w:styleId="Titre4Car">
    <w:name w:val="Titre 4 Car"/>
    <w:basedOn w:val="Policepardfaut"/>
    <w:link w:val="Titre4"/>
    <w:uiPriority w:val="9"/>
    <w:semiHidden/>
    <w:rsid w:val="00FF3345"/>
    <w:rPr>
      <w:rFonts w:eastAsiaTheme="majorEastAsia" w:cstheme="majorBidi"/>
      <w:i/>
      <w:iCs/>
      <w:color w:val="085D75" w:themeColor="accent1" w:themeShade="BF"/>
    </w:rPr>
  </w:style>
  <w:style w:type="character" w:customStyle="1" w:styleId="Titre5Car">
    <w:name w:val="Titre 5 Car"/>
    <w:basedOn w:val="Policepardfaut"/>
    <w:link w:val="Titre5"/>
    <w:uiPriority w:val="9"/>
    <w:semiHidden/>
    <w:rsid w:val="00FF3345"/>
    <w:rPr>
      <w:rFonts w:eastAsiaTheme="majorEastAsia" w:cstheme="majorBidi"/>
      <w:color w:val="085D75" w:themeColor="accent1" w:themeShade="BF"/>
    </w:rPr>
  </w:style>
  <w:style w:type="character" w:customStyle="1" w:styleId="Titre6Car">
    <w:name w:val="Titre 6 Car"/>
    <w:basedOn w:val="Policepardfaut"/>
    <w:link w:val="Titre6"/>
    <w:uiPriority w:val="9"/>
    <w:semiHidden/>
    <w:rsid w:val="00FF33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F33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F33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F3345"/>
    <w:rPr>
      <w:rFonts w:eastAsiaTheme="majorEastAsia" w:cstheme="majorBidi"/>
      <w:color w:val="272727" w:themeColor="text1" w:themeTint="D8"/>
    </w:rPr>
  </w:style>
  <w:style w:type="paragraph" w:styleId="Titre">
    <w:name w:val="Title"/>
    <w:basedOn w:val="Normal"/>
    <w:next w:val="Normal"/>
    <w:link w:val="TitreCar"/>
    <w:uiPriority w:val="10"/>
    <w:qFormat/>
    <w:rsid w:val="00FF334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F33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2F0C"/>
    <w:pPr>
      <w:numPr>
        <w:ilvl w:val="1"/>
      </w:numPr>
      <w:jc w:val="center"/>
    </w:pPr>
    <w:rPr>
      <w:rFonts w:eastAsiaTheme="majorEastAsia" w:cstheme="majorBidi"/>
      <w:color w:val="000000" w:themeColor="text1" w:themeShade="BF"/>
      <w:spacing w:val="15"/>
      <w:szCs w:val="28"/>
    </w:rPr>
  </w:style>
  <w:style w:type="character" w:customStyle="1" w:styleId="Sous-titreCar">
    <w:name w:val="Sous-titre Car"/>
    <w:basedOn w:val="Policepardfaut"/>
    <w:link w:val="Sous-titre"/>
    <w:uiPriority w:val="11"/>
    <w:rsid w:val="00742F0C"/>
    <w:rPr>
      <w:rFonts w:eastAsiaTheme="majorEastAsia" w:cstheme="majorBidi"/>
      <w:color w:val="000000" w:themeColor="text1" w:themeShade="BF"/>
      <w:spacing w:val="15"/>
      <w:szCs w:val="28"/>
    </w:rPr>
  </w:style>
  <w:style w:type="paragraph" w:styleId="Citation">
    <w:name w:val="Quote"/>
    <w:basedOn w:val="Normal"/>
    <w:next w:val="Normal"/>
    <w:link w:val="CitationCar"/>
    <w:uiPriority w:val="29"/>
    <w:qFormat/>
    <w:rsid w:val="00FF3345"/>
    <w:pPr>
      <w:spacing w:before="160"/>
      <w:jc w:val="center"/>
    </w:pPr>
    <w:rPr>
      <w:i/>
      <w:iCs/>
      <w:color w:val="404040" w:themeColor="text1" w:themeTint="BF"/>
    </w:rPr>
  </w:style>
  <w:style w:type="character" w:customStyle="1" w:styleId="CitationCar">
    <w:name w:val="Citation Car"/>
    <w:basedOn w:val="Policepardfaut"/>
    <w:link w:val="Citation"/>
    <w:uiPriority w:val="29"/>
    <w:rsid w:val="00FF3345"/>
    <w:rPr>
      <w:i/>
      <w:iCs/>
      <w:color w:val="404040" w:themeColor="text1" w:themeTint="BF"/>
    </w:rPr>
  </w:style>
  <w:style w:type="paragraph" w:styleId="Paragraphedeliste">
    <w:name w:val="List Paragraph"/>
    <w:uiPriority w:val="34"/>
    <w:qFormat/>
    <w:rsid w:val="0015055D"/>
    <w:pPr>
      <w:numPr>
        <w:numId w:val="1"/>
      </w:numPr>
      <w:ind w:left="568" w:hanging="284"/>
      <w:contextualSpacing/>
    </w:pPr>
    <w:rPr>
      <w:sz w:val="22"/>
    </w:rPr>
  </w:style>
  <w:style w:type="character" w:styleId="Accentuationintense">
    <w:name w:val="Intense Emphasis"/>
    <w:basedOn w:val="Policepardfaut"/>
    <w:uiPriority w:val="21"/>
    <w:qFormat/>
    <w:rsid w:val="00FF3345"/>
    <w:rPr>
      <w:i/>
      <w:iCs/>
      <w:color w:val="085D75" w:themeColor="accent1" w:themeShade="BF"/>
    </w:rPr>
  </w:style>
  <w:style w:type="paragraph" w:styleId="Citationintense">
    <w:name w:val="Intense Quote"/>
    <w:basedOn w:val="Normal"/>
    <w:next w:val="Normal"/>
    <w:link w:val="CitationintenseCar"/>
    <w:uiPriority w:val="30"/>
    <w:qFormat/>
    <w:rsid w:val="00FF3345"/>
    <w:pPr>
      <w:pBdr>
        <w:top w:val="single" w:sz="4" w:space="10" w:color="085D75" w:themeColor="accent1" w:themeShade="BF"/>
        <w:bottom w:val="single" w:sz="4" w:space="10" w:color="085D75" w:themeColor="accent1" w:themeShade="BF"/>
      </w:pBdr>
      <w:spacing w:before="360" w:after="360"/>
      <w:ind w:left="864" w:right="864"/>
      <w:jc w:val="center"/>
    </w:pPr>
    <w:rPr>
      <w:i/>
      <w:iCs/>
      <w:color w:val="085D75" w:themeColor="accent1" w:themeShade="BF"/>
    </w:rPr>
  </w:style>
  <w:style w:type="character" w:customStyle="1" w:styleId="CitationintenseCar">
    <w:name w:val="Citation intense Car"/>
    <w:basedOn w:val="Policepardfaut"/>
    <w:link w:val="Citationintense"/>
    <w:uiPriority w:val="30"/>
    <w:rsid w:val="00FF3345"/>
    <w:rPr>
      <w:i/>
      <w:iCs/>
      <w:color w:val="085D75" w:themeColor="accent1" w:themeShade="BF"/>
    </w:rPr>
  </w:style>
  <w:style w:type="character" w:styleId="Rfrenceintense">
    <w:name w:val="Intense Reference"/>
    <w:basedOn w:val="Policepardfaut"/>
    <w:uiPriority w:val="32"/>
    <w:qFormat/>
    <w:rsid w:val="00FF3345"/>
    <w:rPr>
      <w:b/>
      <w:bCs/>
      <w:smallCaps/>
      <w:color w:val="085D75" w:themeColor="accent1" w:themeShade="BF"/>
      <w:spacing w:val="5"/>
    </w:rPr>
  </w:style>
  <w:style w:type="paragraph" w:styleId="En-tte">
    <w:name w:val="header"/>
    <w:basedOn w:val="Normal"/>
    <w:link w:val="En-tteCar"/>
    <w:uiPriority w:val="99"/>
    <w:unhideWhenUsed/>
    <w:rsid w:val="00FF3345"/>
    <w:pPr>
      <w:tabs>
        <w:tab w:val="center" w:pos="4536"/>
        <w:tab w:val="right" w:pos="9072"/>
      </w:tabs>
    </w:pPr>
  </w:style>
  <w:style w:type="character" w:customStyle="1" w:styleId="En-tteCar">
    <w:name w:val="En-tête Car"/>
    <w:basedOn w:val="Policepardfaut"/>
    <w:link w:val="En-tte"/>
    <w:uiPriority w:val="99"/>
    <w:rsid w:val="00FF3345"/>
  </w:style>
  <w:style w:type="paragraph" w:styleId="Pieddepage">
    <w:name w:val="footer"/>
    <w:basedOn w:val="Normal"/>
    <w:link w:val="PieddepageCar"/>
    <w:uiPriority w:val="99"/>
    <w:unhideWhenUsed/>
    <w:rsid w:val="00FF3345"/>
    <w:pPr>
      <w:tabs>
        <w:tab w:val="center" w:pos="4536"/>
        <w:tab w:val="right" w:pos="9072"/>
      </w:tabs>
    </w:pPr>
  </w:style>
  <w:style w:type="character" w:customStyle="1" w:styleId="PieddepageCar">
    <w:name w:val="Pied de page Car"/>
    <w:basedOn w:val="Policepardfaut"/>
    <w:link w:val="Pieddepage"/>
    <w:uiPriority w:val="99"/>
    <w:rsid w:val="00FF3345"/>
  </w:style>
  <w:style w:type="paragraph" w:customStyle="1" w:styleId="Chap">
    <w:name w:val="Chapô"/>
    <w:qFormat/>
    <w:rsid w:val="00754CD3"/>
  </w:style>
  <w:style w:type="character" w:styleId="Lienhypertexte">
    <w:name w:val="Hyperlink"/>
    <w:basedOn w:val="Policepardfaut"/>
    <w:uiPriority w:val="99"/>
    <w:unhideWhenUsed/>
    <w:rsid w:val="00601161"/>
    <w:rPr>
      <w:color w:val="0000FF" w:themeColor="hyperlink"/>
      <w:u w:val="single"/>
    </w:rPr>
  </w:style>
  <w:style w:type="character" w:styleId="Mentionnonrsolue">
    <w:name w:val="Unresolved Mention"/>
    <w:basedOn w:val="Policepardfaut"/>
    <w:uiPriority w:val="99"/>
    <w:semiHidden/>
    <w:unhideWhenUsed/>
    <w:rsid w:val="00601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5667">
      <w:bodyDiv w:val="1"/>
      <w:marLeft w:val="0"/>
      <w:marRight w:val="0"/>
      <w:marTop w:val="0"/>
      <w:marBottom w:val="0"/>
      <w:divBdr>
        <w:top w:val="none" w:sz="0" w:space="0" w:color="auto"/>
        <w:left w:val="none" w:sz="0" w:space="0" w:color="auto"/>
        <w:bottom w:val="none" w:sz="0" w:space="0" w:color="auto"/>
        <w:right w:val="none" w:sz="0" w:space="0" w:color="auto"/>
      </w:divBdr>
    </w:div>
    <w:div w:id="273950011">
      <w:bodyDiv w:val="1"/>
      <w:marLeft w:val="0"/>
      <w:marRight w:val="0"/>
      <w:marTop w:val="0"/>
      <w:marBottom w:val="0"/>
      <w:divBdr>
        <w:top w:val="none" w:sz="0" w:space="0" w:color="auto"/>
        <w:left w:val="none" w:sz="0" w:space="0" w:color="auto"/>
        <w:bottom w:val="none" w:sz="0" w:space="0" w:color="auto"/>
        <w:right w:val="none" w:sz="0" w:space="0" w:color="auto"/>
      </w:divBdr>
    </w:div>
    <w:div w:id="651181404">
      <w:bodyDiv w:val="1"/>
      <w:marLeft w:val="0"/>
      <w:marRight w:val="0"/>
      <w:marTop w:val="0"/>
      <w:marBottom w:val="0"/>
      <w:divBdr>
        <w:top w:val="none" w:sz="0" w:space="0" w:color="auto"/>
        <w:left w:val="none" w:sz="0" w:space="0" w:color="auto"/>
        <w:bottom w:val="none" w:sz="0" w:space="0" w:color="auto"/>
        <w:right w:val="none" w:sz="0" w:space="0" w:color="auto"/>
      </w:divBdr>
    </w:div>
    <w:div w:id="801924707">
      <w:bodyDiv w:val="1"/>
      <w:marLeft w:val="0"/>
      <w:marRight w:val="0"/>
      <w:marTop w:val="0"/>
      <w:marBottom w:val="0"/>
      <w:divBdr>
        <w:top w:val="none" w:sz="0" w:space="0" w:color="auto"/>
        <w:left w:val="none" w:sz="0" w:space="0" w:color="auto"/>
        <w:bottom w:val="none" w:sz="0" w:space="0" w:color="auto"/>
        <w:right w:val="none" w:sz="0" w:space="0" w:color="auto"/>
      </w:divBdr>
    </w:div>
    <w:div w:id="839348462">
      <w:bodyDiv w:val="1"/>
      <w:marLeft w:val="0"/>
      <w:marRight w:val="0"/>
      <w:marTop w:val="0"/>
      <w:marBottom w:val="0"/>
      <w:divBdr>
        <w:top w:val="none" w:sz="0" w:space="0" w:color="auto"/>
        <w:left w:val="none" w:sz="0" w:space="0" w:color="auto"/>
        <w:bottom w:val="none" w:sz="0" w:space="0" w:color="auto"/>
        <w:right w:val="none" w:sz="0" w:space="0" w:color="auto"/>
      </w:divBdr>
    </w:div>
    <w:div w:id="968048979">
      <w:bodyDiv w:val="1"/>
      <w:marLeft w:val="0"/>
      <w:marRight w:val="0"/>
      <w:marTop w:val="0"/>
      <w:marBottom w:val="0"/>
      <w:divBdr>
        <w:top w:val="none" w:sz="0" w:space="0" w:color="auto"/>
        <w:left w:val="none" w:sz="0" w:space="0" w:color="auto"/>
        <w:bottom w:val="none" w:sz="0" w:space="0" w:color="auto"/>
        <w:right w:val="none" w:sz="0" w:space="0" w:color="auto"/>
      </w:divBdr>
    </w:div>
    <w:div w:id="1063406653">
      <w:bodyDiv w:val="1"/>
      <w:marLeft w:val="0"/>
      <w:marRight w:val="0"/>
      <w:marTop w:val="0"/>
      <w:marBottom w:val="0"/>
      <w:divBdr>
        <w:top w:val="none" w:sz="0" w:space="0" w:color="auto"/>
        <w:left w:val="none" w:sz="0" w:space="0" w:color="auto"/>
        <w:bottom w:val="none" w:sz="0" w:space="0" w:color="auto"/>
        <w:right w:val="none" w:sz="0" w:space="0" w:color="auto"/>
      </w:divBdr>
    </w:div>
    <w:div w:id="1242641056">
      <w:bodyDiv w:val="1"/>
      <w:marLeft w:val="0"/>
      <w:marRight w:val="0"/>
      <w:marTop w:val="0"/>
      <w:marBottom w:val="0"/>
      <w:divBdr>
        <w:top w:val="none" w:sz="0" w:space="0" w:color="auto"/>
        <w:left w:val="none" w:sz="0" w:space="0" w:color="auto"/>
        <w:bottom w:val="none" w:sz="0" w:space="0" w:color="auto"/>
        <w:right w:val="none" w:sz="0" w:space="0" w:color="auto"/>
      </w:divBdr>
    </w:div>
    <w:div w:id="1274946648">
      <w:bodyDiv w:val="1"/>
      <w:marLeft w:val="0"/>
      <w:marRight w:val="0"/>
      <w:marTop w:val="0"/>
      <w:marBottom w:val="0"/>
      <w:divBdr>
        <w:top w:val="none" w:sz="0" w:space="0" w:color="auto"/>
        <w:left w:val="none" w:sz="0" w:space="0" w:color="auto"/>
        <w:bottom w:val="none" w:sz="0" w:space="0" w:color="auto"/>
        <w:right w:val="none" w:sz="0" w:space="0" w:color="auto"/>
      </w:divBdr>
    </w:div>
    <w:div w:id="1451437823">
      <w:bodyDiv w:val="1"/>
      <w:marLeft w:val="0"/>
      <w:marRight w:val="0"/>
      <w:marTop w:val="0"/>
      <w:marBottom w:val="0"/>
      <w:divBdr>
        <w:top w:val="none" w:sz="0" w:space="0" w:color="auto"/>
        <w:left w:val="none" w:sz="0" w:space="0" w:color="auto"/>
        <w:bottom w:val="none" w:sz="0" w:space="0" w:color="auto"/>
        <w:right w:val="none" w:sz="0" w:space="0" w:color="auto"/>
      </w:divBdr>
    </w:div>
    <w:div w:id="1559322345">
      <w:bodyDiv w:val="1"/>
      <w:marLeft w:val="0"/>
      <w:marRight w:val="0"/>
      <w:marTop w:val="0"/>
      <w:marBottom w:val="0"/>
      <w:divBdr>
        <w:top w:val="none" w:sz="0" w:space="0" w:color="auto"/>
        <w:left w:val="none" w:sz="0" w:space="0" w:color="auto"/>
        <w:bottom w:val="none" w:sz="0" w:space="0" w:color="auto"/>
        <w:right w:val="none" w:sz="0" w:space="0" w:color="auto"/>
      </w:divBdr>
    </w:div>
    <w:div w:id="1733575685">
      <w:bodyDiv w:val="1"/>
      <w:marLeft w:val="0"/>
      <w:marRight w:val="0"/>
      <w:marTop w:val="0"/>
      <w:marBottom w:val="0"/>
      <w:divBdr>
        <w:top w:val="none" w:sz="0" w:space="0" w:color="auto"/>
        <w:left w:val="none" w:sz="0" w:space="0" w:color="auto"/>
        <w:bottom w:val="none" w:sz="0" w:space="0" w:color="auto"/>
        <w:right w:val="none" w:sz="0" w:space="0" w:color="auto"/>
      </w:divBdr>
    </w:div>
    <w:div w:id="1776441607">
      <w:bodyDiv w:val="1"/>
      <w:marLeft w:val="0"/>
      <w:marRight w:val="0"/>
      <w:marTop w:val="0"/>
      <w:marBottom w:val="0"/>
      <w:divBdr>
        <w:top w:val="none" w:sz="0" w:space="0" w:color="auto"/>
        <w:left w:val="none" w:sz="0" w:space="0" w:color="auto"/>
        <w:bottom w:val="none" w:sz="0" w:space="0" w:color="auto"/>
        <w:right w:val="none" w:sz="0" w:space="0" w:color="auto"/>
      </w:divBdr>
    </w:div>
    <w:div w:id="195408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editions-tissot.fr/actualite/sante-securite/telechargement/sante-securite-au-travail-15-decisions-marquantes-de-la-cour-de-cassation-1e-semestre-2025" TargetMode="External"/><Relationship Id="rId18" Type="http://schemas.openxmlformats.org/officeDocument/2006/relationships/hyperlink" Target="https://normlex.ilo.org/dyn/nrmlx_fr/f?p=NORMLEXPUB:12100:0::NO::P12100_INSTRUMENT_ID:31230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ravail-emploi.gouv.fr/suivi-individuel-de-letat-de-sante-des-travailleurs-conduite-dengins-risque-electrique-le-decret-du-18-avril-2025" TargetMode="External"/><Relationship Id="rId17" Type="http://schemas.openxmlformats.org/officeDocument/2006/relationships/hyperlink" Target="https://travail-emploi.gouv.fr/un-engagement-historique-pour-la-protection-des-travailleurs-apres-le-senat-le-13-fevrier-ladoption-par-lassemblee-nationale-du-projet-de-loi-autorisant-la-ratification-de-la-convention-ndeg155-de-loit-sur-la-securite-et-la-sante-des-travailleurs" TargetMode="External"/><Relationship Id="rId2" Type="http://schemas.openxmlformats.org/officeDocument/2006/relationships/numbering" Target="numbering.xml"/><Relationship Id="rId16" Type="http://schemas.openxmlformats.org/officeDocument/2006/relationships/hyperlink" Target="https://osha.europa.eu/fr/facts-and-figures/osh-pul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ssaf.org/accueil/espace-medias/communiques-et-dossiers-de-press/communiques-de-presse/2025/l-urssaf-affirme-son-engagement-.html" TargetMode="External"/><Relationship Id="rId5" Type="http://schemas.openxmlformats.org/officeDocument/2006/relationships/webSettings" Target="webSettings.xml"/><Relationship Id="rId15" Type="http://schemas.openxmlformats.org/officeDocument/2006/relationships/hyperlink" Target="https://www.inrs.fr/media.html?refINRS=TC%20180" TargetMode="External"/><Relationship Id="rId10" Type="http://schemas.openxmlformats.org/officeDocument/2006/relationships/hyperlink" Target="https://www.andrh.fr/presse/communique/safe-place-face-aux-violences-faites-aux-femmes-landrh-renforce-son-action-dans-les-entreprises" TargetMode="External"/><Relationship Id="rId19" Type="http://schemas.openxmlformats.org/officeDocument/2006/relationships/hyperlink" Target="https://www.asnr.fr/actualites/bilan-2024-des-expositions-professionnelles-aux-rayonnements-ionisants-en-france" TargetMode="External"/><Relationship Id="rId4" Type="http://schemas.openxmlformats.org/officeDocument/2006/relationships/settings" Target="settings.xml"/><Relationship Id="rId9" Type="http://schemas.openxmlformats.org/officeDocument/2006/relationships/hyperlink" Target="https://www.assurance-maladie.ameli.fr/etudes-et-donnees/2024-rapport-annuel-assurance-maladie-risques-professionnels" TargetMode="External"/><Relationship Id="rId14" Type="http://schemas.openxmlformats.org/officeDocument/2006/relationships/hyperlink" Target="https://www.inrs.fr/publications/hst/dossier.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ouleurs INTEFP">
      <a:dk1>
        <a:sysClr val="windowText" lastClr="000000"/>
      </a:dk1>
      <a:lt1>
        <a:sysClr val="window" lastClr="FFFFFF"/>
      </a:lt1>
      <a:dk2>
        <a:srgbClr val="1F497D"/>
      </a:dk2>
      <a:lt2>
        <a:srgbClr val="EEECE1"/>
      </a:lt2>
      <a:accent1>
        <a:srgbClr val="0B7E9D"/>
      </a:accent1>
      <a:accent2>
        <a:srgbClr val="E94F35"/>
      </a:accent2>
      <a:accent3>
        <a:srgbClr val="3F3E3E"/>
      </a:accent3>
      <a:accent4>
        <a:srgbClr val="8064A2"/>
      </a:accent4>
      <a:accent5>
        <a:srgbClr val="4BACC6"/>
      </a:accent5>
      <a:accent6>
        <a:srgbClr val="F79646"/>
      </a:accent6>
      <a:hlink>
        <a:srgbClr val="0000FF"/>
      </a:hlink>
      <a:folHlink>
        <a:srgbClr val="800080"/>
      </a:folHlink>
    </a:clrScheme>
    <a:fontScheme name="Intefp">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30C64-FDF9-4DAB-B537-9F4D5EF0F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1629</Words>
  <Characters>8961</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SCIALOM, Ornella (INTEFP)</dc:creator>
  <cp:keywords/>
  <dc:description/>
  <cp:lastModifiedBy>LEGER, Stephanie (INTEFP)</cp:lastModifiedBy>
  <cp:revision>5</cp:revision>
  <dcterms:created xsi:type="dcterms:W3CDTF">2025-12-15T12:50:00Z</dcterms:created>
  <dcterms:modified xsi:type="dcterms:W3CDTF">2025-12-15T13:17:00Z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2025-10-13T11:08:51Z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14678f0d-4f23-4b32-b13c-1bdc0180e162</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